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2BC" w:rsidRDefault="00753F68">
      <w:pPr>
        <w:ind w:left="142" w:right="43"/>
        <w:jc w:val="center"/>
        <w:rPr>
          <w:rFonts w:ascii="Arial" w:hAnsi="Arial" w:cs="Arial"/>
          <w:b/>
          <w:u w:val="single" w:color="000000"/>
        </w:rPr>
      </w:pPr>
      <w:r>
        <w:rPr>
          <w:rFonts w:ascii="Arial" w:hAnsi="Arial" w:cs="Arial"/>
          <w:b/>
          <w:u w:val="single" w:color="000000"/>
        </w:rPr>
        <w:t>MEMORIAL DESCRITIVO</w:t>
      </w:r>
    </w:p>
    <w:p w:rsidR="00BD72BC" w:rsidRDefault="00BD72BC">
      <w:pPr>
        <w:ind w:left="142" w:right="43"/>
        <w:jc w:val="center"/>
        <w:rPr>
          <w:rFonts w:ascii="Arial" w:hAnsi="Arial" w:cs="Arial"/>
          <w:b/>
        </w:rPr>
      </w:pPr>
    </w:p>
    <w:p w:rsidR="00BD72BC" w:rsidRDefault="00753F68">
      <w:pPr>
        <w:pBdr>
          <w:bottom w:val="single" w:sz="4" w:space="1" w:color="00000A"/>
        </w:pBdr>
        <w:spacing w:after="127"/>
        <w:ind w:left="142" w:right="4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PREFEITURA MUNICIPAL DA ESTÂNCIA TURÍSTICA DE IBITINGA</w:t>
      </w:r>
    </w:p>
    <w:p w:rsidR="00BD72BC" w:rsidRDefault="00BD72BC">
      <w:pPr>
        <w:pBdr>
          <w:bottom w:val="single" w:sz="4" w:space="1" w:color="00000A"/>
        </w:pBdr>
        <w:spacing w:after="127"/>
        <w:ind w:left="142" w:right="43"/>
        <w:rPr>
          <w:rFonts w:ascii="Arial" w:hAnsi="Arial" w:cs="Arial"/>
          <w:b/>
          <w:sz w:val="23"/>
          <w:szCs w:val="23"/>
        </w:rPr>
      </w:pPr>
    </w:p>
    <w:p w:rsidR="00BD72BC" w:rsidRDefault="00753F68">
      <w:pPr>
        <w:widowControl w:val="0"/>
      </w:pPr>
      <w:r>
        <w:rPr>
          <w:rFonts w:ascii="Arial" w:hAnsi="Arial" w:cs="Arial"/>
          <w:b/>
          <w:sz w:val="23"/>
          <w:szCs w:val="23"/>
        </w:rPr>
        <w:t>OBJETO:</w:t>
      </w:r>
      <w:r>
        <w:rPr>
          <w:rFonts w:ascii="Arial" w:hAnsi="Arial" w:cs="Arial"/>
          <w:sz w:val="23"/>
          <w:szCs w:val="23"/>
        </w:rPr>
        <w:t xml:space="preserve"> CONSTRUÇÃO DE BANHEIROS NA QUADRA DO JARDIM DAS PAINEIRAS</w:t>
      </w:r>
      <w:r w:rsidR="00263A24">
        <w:rPr>
          <w:rFonts w:ascii="Arial" w:hAnsi="Arial" w:cs="Arial"/>
          <w:sz w:val="23"/>
          <w:szCs w:val="23"/>
        </w:rPr>
        <w:t xml:space="preserve"> I E RESTAURAÇÃO DO PISO DA QUADRA – “LIMPEZA E PINTURA”</w:t>
      </w:r>
    </w:p>
    <w:p w:rsidR="00BD72BC" w:rsidRDefault="00753F68">
      <w:pPr>
        <w:widowControl w:val="0"/>
      </w:pPr>
      <w:r>
        <w:rPr>
          <w:rFonts w:ascii="Arial" w:hAnsi="Arial" w:cs="Arial"/>
          <w:b/>
          <w:sz w:val="23"/>
          <w:szCs w:val="23"/>
        </w:rPr>
        <w:t xml:space="preserve">ENDEREÇO: </w:t>
      </w:r>
      <w:r w:rsidR="00263A24">
        <w:rPr>
          <w:rFonts w:ascii="Arial" w:hAnsi="Arial" w:cs="Arial"/>
          <w:sz w:val="23"/>
          <w:szCs w:val="23"/>
        </w:rPr>
        <w:t xml:space="preserve">RUA ALBERTO JANES ESQUINA COM A </w:t>
      </w:r>
      <w:r>
        <w:rPr>
          <w:rFonts w:ascii="Arial" w:hAnsi="Arial" w:cs="Arial"/>
          <w:sz w:val="23"/>
          <w:szCs w:val="23"/>
        </w:rPr>
        <w:t>RUA ROSA SIMÕES FERNANDES, S/N, JARDIM DAS PAINEIRAS</w:t>
      </w:r>
      <w:r w:rsidR="00263A24">
        <w:rPr>
          <w:rFonts w:ascii="Arial" w:hAnsi="Arial" w:cs="Arial"/>
          <w:sz w:val="23"/>
          <w:szCs w:val="23"/>
        </w:rPr>
        <w:t xml:space="preserve"> I</w:t>
      </w:r>
      <w:r>
        <w:rPr>
          <w:rFonts w:ascii="Arial" w:hAnsi="Arial" w:cs="Arial"/>
          <w:sz w:val="23"/>
          <w:szCs w:val="23"/>
        </w:rPr>
        <w:t>, IBITINGA/SP</w:t>
      </w:r>
      <w:r w:rsidR="00263A24">
        <w:rPr>
          <w:rFonts w:ascii="Arial" w:hAnsi="Arial" w:cs="Arial"/>
          <w:sz w:val="23"/>
          <w:szCs w:val="23"/>
        </w:rPr>
        <w:t>.</w:t>
      </w:r>
    </w:p>
    <w:p w:rsidR="00BD72BC" w:rsidRDefault="00BD72BC">
      <w:pPr>
        <w:widowControl w:val="0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 obra obedecerá à boa técnica, atendendo às recomendações da ABNT e das Concessionárias locais.</w:t>
      </w:r>
    </w:p>
    <w:p w:rsidR="00BD72BC" w:rsidRDefault="00BD72BC">
      <w:pPr>
        <w:rPr>
          <w:rFonts w:ascii="Arial" w:hAnsi="Arial" w:cs="Arial"/>
          <w:sz w:val="23"/>
          <w:szCs w:val="23"/>
        </w:rPr>
      </w:pPr>
    </w:p>
    <w:p w:rsidR="00BD72BC" w:rsidRDefault="00BD72BC">
      <w:pPr>
        <w:pStyle w:val="PargrafodaLista"/>
        <w:spacing w:line="240" w:lineRule="auto"/>
        <w:ind w:left="1125"/>
        <w:rPr>
          <w:rFonts w:ascii="Arial" w:hAnsi="Arial" w:cs="Arial"/>
          <w:b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 SERVIÇOS PRELIMINARES</w:t>
      </w:r>
    </w:p>
    <w:p w:rsidR="00BD72BC" w:rsidRDefault="00BD72BC">
      <w:pPr>
        <w:pStyle w:val="PargrafodaLista"/>
        <w:spacing w:line="240" w:lineRule="auto"/>
        <w:ind w:left="0"/>
        <w:rPr>
          <w:rFonts w:ascii="Arial" w:hAnsi="Arial" w:cs="Arial"/>
          <w:b/>
          <w:sz w:val="23"/>
          <w:szCs w:val="23"/>
        </w:rPr>
      </w:pPr>
    </w:p>
    <w:p w:rsidR="00BD72BC" w:rsidRDefault="00753F68">
      <w:pPr>
        <w:pStyle w:val="PargrafodaLista"/>
        <w:spacing w:line="240" w:lineRule="auto"/>
        <w:ind w:left="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1.1 Placa em lona com impressão digital e estrutura em madeira</w:t>
      </w:r>
    </w:p>
    <w:p w:rsidR="00BD72BC" w:rsidRDefault="00753F68">
      <w:pPr>
        <w:pStyle w:val="PargrafodaLista"/>
        <w:spacing w:line="240" w:lineRule="auto"/>
        <w:ind w:left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área de placa executada (m²).</w:t>
      </w:r>
    </w:p>
    <w:p w:rsidR="00BD72BC" w:rsidRDefault="00753F68">
      <w:pPr>
        <w:pStyle w:val="PargrafodaLista"/>
        <w:spacing w:line="240" w:lineRule="auto"/>
        <w:ind w:left="0"/>
        <w:jc w:val="both"/>
      </w:pPr>
      <w:r>
        <w:rPr>
          <w:rFonts w:ascii="Arial" w:hAnsi="Arial" w:cs="Arial"/>
          <w:sz w:val="23"/>
          <w:szCs w:val="23"/>
        </w:rPr>
        <w:t xml:space="preserve">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>
        <w:rPr>
          <w:rFonts w:ascii="Arial" w:hAnsi="Arial" w:cs="Arial"/>
          <w:sz w:val="23"/>
          <w:szCs w:val="23"/>
        </w:rPr>
        <w:t>angustifolia</w:t>
      </w:r>
      <w:proofErr w:type="spellEnd"/>
      <w:r>
        <w:rPr>
          <w:rFonts w:ascii="Arial" w:hAnsi="Arial" w:cs="Arial"/>
          <w:sz w:val="23"/>
          <w:szCs w:val="23"/>
        </w:rPr>
        <w:t xml:space="preserve">), ou </w:t>
      </w:r>
      <w:proofErr w:type="spellStart"/>
      <w:r>
        <w:rPr>
          <w:rFonts w:ascii="Arial" w:hAnsi="Arial" w:cs="Arial"/>
          <w:sz w:val="23"/>
          <w:szCs w:val="23"/>
        </w:rPr>
        <w:t>Quarubarana</w:t>
      </w:r>
      <w:proofErr w:type="spellEnd"/>
      <w:r>
        <w:rPr>
          <w:rFonts w:ascii="Arial" w:hAnsi="Arial" w:cs="Arial"/>
          <w:sz w:val="23"/>
          <w:szCs w:val="23"/>
        </w:rPr>
        <w:t xml:space="preserve"> (</w:t>
      </w:r>
      <w:proofErr w:type="spellStart"/>
      <w:r>
        <w:rPr>
          <w:rFonts w:ascii="Arial" w:hAnsi="Arial" w:cs="Arial"/>
          <w:sz w:val="23"/>
          <w:szCs w:val="23"/>
        </w:rPr>
        <w:t>Erisma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uncinatum</w:t>
      </w:r>
      <w:proofErr w:type="spellEnd"/>
      <w:r>
        <w:rPr>
          <w:rFonts w:ascii="Arial" w:hAnsi="Arial" w:cs="Arial"/>
          <w:sz w:val="23"/>
          <w:szCs w:val="23"/>
        </w:rPr>
        <w:t>), conhecida também como Cedrinho, ou Cambará (</w:t>
      </w:r>
      <w:proofErr w:type="spellStart"/>
      <w:r>
        <w:rPr>
          <w:rFonts w:ascii="Arial" w:hAnsi="Arial" w:cs="Arial"/>
          <w:sz w:val="23"/>
          <w:szCs w:val="23"/>
        </w:rPr>
        <w:t>Qualea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spp</w:t>
      </w:r>
      <w:proofErr w:type="spellEnd"/>
      <w:r>
        <w:rPr>
          <w:rFonts w:ascii="Arial" w:hAnsi="Arial" w:cs="Arial"/>
          <w:sz w:val="23"/>
          <w:szCs w:val="23"/>
        </w:rPr>
        <w:t>), travamento realizado a cada 1,5 m com pontalete, pintura em tinta PVA para madeira; inclusive materiais acessórios e a mão de obra necessária para instalação completa da placa.</w:t>
      </w:r>
    </w:p>
    <w:p w:rsidR="00BD72BC" w:rsidRDefault="00BD72BC">
      <w:pPr>
        <w:pStyle w:val="PargrafodaLista"/>
        <w:spacing w:line="240" w:lineRule="auto"/>
        <w:ind w:left="0"/>
        <w:rPr>
          <w:rFonts w:ascii="Arial" w:hAnsi="Arial" w:cs="Arial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1.2 Remoção de entulho separado de obra com caçamba metálica - terra, alvenaria, concreto, argamassa, madeira, papel, plástico ou metal</w:t>
      </w:r>
    </w:p>
    <w:p w:rsidR="00BD72BC" w:rsidRDefault="00753F68">
      <w:pPr>
        <w:jc w:val="both"/>
      </w:pPr>
      <w:r>
        <w:rPr>
          <w:rFonts w:ascii="Arial" w:hAnsi="Arial" w:cs="Arial"/>
          <w:color w:val="00000A"/>
          <w:sz w:val="23"/>
          <w:szCs w:val="23"/>
        </w:rPr>
        <w:t xml:space="preserve">Será medido por volume de entulho retirado e não misturado, aferido na caçamba (m³). O item remunera o fornecimento dos serviços de carregamento manual de terra ou alvenaria ou concreto ou argamassa ou madeira ou papel ou plástico ou metal até a caçamba, remoção e transporte da caçamba até unidade de destinação final indicada pelo Município onde ocorrer a geração e retirada do entulho, ou área licenciada para tal finalidade pela Companhia de Tecnologia de Saneamento Ambiental (CETESB), e que atenda às exigências de legislação municipal, acondicionados em caçambas distintas, sem mistura de material, abrangendo: A empresa ou prestadora dos serviços de remoção do entulho, resíduos provenientes da construção civil, deverá cumprir todas as exigências e determinações previstas na legislação: Resolução nº 307, de 5 de julho de 2002 e suas alterações, pelo Conselho Nacional do Meio Ambiente (CONAMA), Decreto nº 37952, de 11 de maio de 1999, e normas;  Fornecimento de caçamba metálica de qualquer tamanho, na obra, remoção da mesma quando cheia, e a reposição por outra caçamba vazia, o transporte e o despejo na unidade de destinação final, independente da distância do local de despejo;  Fornecimento da mão de obra e recipientes adequados, necessários para o transporte manual, vertical ou horizontal, do material de entulho, até o local onde está situada a caçamba;  Proteção das áreas envolvidas, bem como </w:t>
      </w:r>
      <w:r>
        <w:rPr>
          <w:rFonts w:ascii="Arial" w:hAnsi="Arial" w:cs="Arial"/>
          <w:color w:val="00000A"/>
          <w:sz w:val="23"/>
          <w:szCs w:val="23"/>
        </w:rPr>
        <w:lastRenderedPageBreak/>
        <w:t xml:space="preserve">o despejo e acomodação dos materiais na caçamba;  A mão de obra, os materiais acessórios e os equipamentos necessários ao carregamento, transporte e descarga deverão ser condizentes com a natureza dos serviços prestados. Na retirada do entulho, a empresa executora dos serviços de coleta e transporte, deverá apresentar o Controle de Transporte de Resíduos (CTR) devidamente preenchido, contendo informações sobre o gerador, origem, quantidade e descrição dos resíduos e seu destino, unidade de disposição final, bem como o comprovante declarando a sua correta destinação; Estão inclusos todos os impostos legais e despesas necessárias junto aos órgãos regulamentadores das atividades envolvidas. Normas técnicas: NBR 15112, NBR 15113, NBR 15114 e Nota Técnica da NBR 10004/2004. </w:t>
      </w:r>
    </w:p>
    <w:p w:rsidR="00BD72BC" w:rsidRDefault="00BD72BC">
      <w:pPr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1.3 Andaime tubular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fachadeiro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com piso metálico e sapatas ajustáveis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pela área, na projeção vertical da fachada, do andaime tubular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fachadeiro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alocado, multiplicada pelo período em meses de locação (m² x mês). O item remunera o fornecimento de locação de andaime tubular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fachadeiro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montado com no mínimo 1,0 m de largura a partir da face externa da fachada; mão de obra para translado interno na obra e materiais necessários para a locação do andaime, constituído por: quadros de base com travamentos e ajustes em diagonal, nivelados por meio de sapatas ajustáveis; guarda-corpos e rodapés, plataformas e quadros com escadas; pavimento de pisos metálicos; materiais acessórios como cabo de aço, tubos e braçadeiras necessários para a montagem; conforme NR 18 e/ou normas vigentes. Não remunera a montagem e desmontagem do andaime.</w:t>
      </w:r>
    </w:p>
    <w:p w:rsidR="00BD72BC" w:rsidRDefault="00BD72BC">
      <w:pPr>
        <w:jc w:val="both"/>
        <w:rPr>
          <w:sz w:val="23"/>
          <w:szCs w:val="23"/>
        </w:rPr>
      </w:pPr>
    </w:p>
    <w:p w:rsidR="00BD72BC" w:rsidRDefault="00BD72BC">
      <w:pPr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1.4 Montagem e desmontagem de andaime torre metálica com altura até 10 m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pela altura do andaime montado e desmontado, sendo medido 100% na desmontagem (m). O item remunera o fornecimento da mão-de-obra necessária para a montagem, desmontagem, empilhamento das peças e traslado interno na obra, para andaimes em torres com até 10 m de altura, inclusive o madeiramento do tablado. </w:t>
      </w:r>
    </w:p>
    <w:p w:rsidR="00BD72BC" w:rsidRDefault="00BD72BC">
      <w:pPr>
        <w:jc w:val="both"/>
        <w:rPr>
          <w:sz w:val="23"/>
          <w:szCs w:val="23"/>
        </w:rPr>
      </w:pPr>
    </w:p>
    <w:p w:rsidR="00BD72BC" w:rsidRDefault="00BD72BC">
      <w:pPr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2 FUNDAÇÃO</w:t>
      </w:r>
    </w:p>
    <w:p w:rsidR="00BD72BC" w:rsidRDefault="00BD72BC">
      <w:pPr>
        <w:rPr>
          <w:sz w:val="23"/>
          <w:szCs w:val="23"/>
        </w:rPr>
      </w:pPr>
    </w:p>
    <w:p w:rsidR="00BD72BC" w:rsidRDefault="00753F68">
      <w:r>
        <w:rPr>
          <w:rFonts w:ascii="Arial" w:hAnsi="Arial" w:cs="Arial"/>
          <w:b/>
          <w:bCs/>
          <w:color w:val="00000A"/>
          <w:sz w:val="23"/>
          <w:szCs w:val="23"/>
        </w:rPr>
        <w:t>2.1 Escavação manual em solo de 1ª e 2ª categoria em vala ou cava até 1,5 m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>Será medido pelo volume escavado, considerando-se um acréscimo para cada lado, no plano horizontal, em relação às dimensões de cada peça, de 20 cm (m³). O item remunera o fornecimento da mão-de-obra necessária para a escavação manual em solo de 1ª e 2ª categorias em valas ou cavas até 1,5 m de profundidade.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2.2 Broca em concreto armado diâmetro de 25 cm – completa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>Será medido pelo comprimento, considerando-se a distância entre o respaldo inferior do bloco e a extremidade inferior de apoio da broca (m). O item remunera o fornecimento dos materiais e a mão de obra para a perfuração, armação, preparo e lançamento do concreto, para a execução de brocas com diâmetro de 25 cm.</w:t>
      </w:r>
    </w:p>
    <w:p w:rsidR="00BD72BC" w:rsidRDefault="00BD72BC">
      <w:pPr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2.3 Lastro de pedra britada</w:t>
      </w:r>
    </w:p>
    <w:p w:rsidR="00BD72BC" w:rsidRDefault="00753F68">
      <w:pPr>
        <w:jc w:val="both"/>
      </w:pPr>
      <w:r>
        <w:rPr>
          <w:rFonts w:ascii="Arial" w:hAnsi="Arial" w:cs="Arial"/>
          <w:color w:val="00000A"/>
          <w:sz w:val="23"/>
          <w:szCs w:val="23"/>
        </w:rPr>
        <w:t xml:space="preserve">Será medido pelo volume acabado, na espessura aproximada de 5 cm (m³): Para escavação manual, será medido pela área do fundo de vala; </w:t>
      </w:r>
      <w:proofErr w:type="gramStart"/>
      <w:r>
        <w:rPr>
          <w:rFonts w:ascii="Arial" w:hAnsi="Arial" w:cs="Arial"/>
          <w:color w:val="00000A"/>
          <w:sz w:val="23"/>
          <w:szCs w:val="23"/>
        </w:rPr>
        <w:t>Para</w:t>
      </w:r>
      <w:proofErr w:type="gramEnd"/>
      <w:r>
        <w:rPr>
          <w:rFonts w:ascii="Arial" w:hAnsi="Arial" w:cs="Arial"/>
          <w:color w:val="00000A"/>
          <w:sz w:val="23"/>
          <w:szCs w:val="23"/>
        </w:rPr>
        <w:t xml:space="preserve"> escavação mecanizada, será medido </w:t>
      </w:r>
      <w:r>
        <w:rPr>
          <w:rFonts w:ascii="Arial" w:hAnsi="Arial" w:cs="Arial"/>
          <w:color w:val="00000A"/>
          <w:sz w:val="23"/>
          <w:szCs w:val="23"/>
        </w:rPr>
        <w:lastRenderedPageBreak/>
        <w:t xml:space="preserve">pelo limite. O item remunera o fornecimento de pedra britada em números médios e a mão de obra necessária para o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apiloamento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do terreno e execução do lastro.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r>
        <w:rPr>
          <w:rFonts w:ascii="Arial" w:hAnsi="Arial" w:cs="Arial"/>
          <w:b/>
          <w:color w:val="00000A"/>
          <w:sz w:val="23"/>
          <w:szCs w:val="23"/>
        </w:rPr>
        <w:t xml:space="preserve">2.4 Armadura em barra de aço CA-50 (A ou B) </w:t>
      </w:r>
      <w:proofErr w:type="spellStart"/>
      <w:r>
        <w:rPr>
          <w:rFonts w:ascii="Arial" w:hAnsi="Arial" w:cs="Arial"/>
          <w:b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b/>
          <w:color w:val="00000A"/>
          <w:sz w:val="23"/>
          <w:szCs w:val="23"/>
        </w:rPr>
        <w:t xml:space="preserve"> = 500 MPa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pelo peso nominal das bitolas constantes no projeto de armadura (kg). O item remunera o fornecimento de aço CA-50 (A ou B) com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igual 500 MPa, dobramento, transporte e colocação de armaduras de qualquer bitola e qualquer comprimento; estão incluídos no item os serviços e materiais secundários como arame, espaçadores, perdas decorrentes de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desbitolamento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, cortes e pontas de traspasse para emendas.  </w:t>
      </w:r>
    </w:p>
    <w:p w:rsidR="00BD72BC" w:rsidRDefault="00753F68">
      <w:pPr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 xml:space="preserve"> </w:t>
      </w:r>
    </w:p>
    <w:p w:rsidR="00BD72BC" w:rsidRDefault="00753F68">
      <w:pPr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 xml:space="preserve">2.5 Armadura em barra de aço CA-60 (A ou B) </w:t>
      </w:r>
      <w:proofErr w:type="spellStart"/>
      <w:r>
        <w:rPr>
          <w:rFonts w:ascii="Arial" w:hAnsi="Arial" w:cs="Arial"/>
          <w:b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b/>
          <w:color w:val="00000A"/>
          <w:sz w:val="23"/>
          <w:szCs w:val="23"/>
        </w:rPr>
        <w:t xml:space="preserve"> = 600 MPa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pelo peso nominal das bitolas constantes no projeto de armadura (kg). O item remunera o fornecimento de aço CA-60 (A ou B) com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igual 600 MPa, dobramento, transporte e colocação de armaduras de qualquer bitola e qualquer comprimento; estão incluídos no item os serviços e materiais secundários como arame, espaçadores, perdas decorrentes de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desbitolamento</w:t>
      </w:r>
      <w:proofErr w:type="spellEnd"/>
      <w:r>
        <w:rPr>
          <w:rFonts w:ascii="Arial" w:hAnsi="Arial" w:cs="Arial"/>
          <w:color w:val="00000A"/>
          <w:sz w:val="23"/>
          <w:szCs w:val="23"/>
        </w:rPr>
        <w:t>, cortes e pontas de traspasse para emendas.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2.6 Concreto usinado,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fck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= 20 MPa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>Será medido pelo volume calculado no projeto de formas, sendo que o volume da interseção dos diversos elementos estruturais deve ser computado uma só vez (m³). O item remunera o fornecimento, posto obra, de concreto usinado, resistência mínima à compressão de 20 MPa, plasticidade (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slump</w:t>
      </w:r>
      <w:proofErr w:type="spellEnd"/>
      <w:r>
        <w:rPr>
          <w:rFonts w:ascii="Arial" w:hAnsi="Arial" w:cs="Arial"/>
          <w:color w:val="00000A"/>
          <w:sz w:val="23"/>
          <w:szCs w:val="23"/>
        </w:rPr>
        <w:t>) de 5 + 1 cm, preparado com britas 1 e 2.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2.7 Lançamento e adensamento de concreto ou massa em fundação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volume calculado no projeto de formas; sendo que o volume da interseção dos diversos elementos estruturais deve ser computado uma só vez (m³</w:t>
      </w:r>
      <w:proofErr w:type="gramStart"/>
      <w:r>
        <w:rPr>
          <w:rFonts w:ascii="Arial" w:hAnsi="Arial" w:cs="Arial"/>
          <w:sz w:val="23"/>
          <w:szCs w:val="23"/>
        </w:rPr>
        <w:t>).O</w:t>
      </w:r>
      <w:proofErr w:type="gramEnd"/>
      <w:r>
        <w:rPr>
          <w:rFonts w:ascii="Arial" w:hAnsi="Arial" w:cs="Arial"/>
          <w:sz w:val="23"/>
          <w:szCs w:val="23"/>
        </w:rPr>
        <w:t xml:space="preserve"> item remunera o fornecimento de equipamentos e mão de obra necessários para o transporte interno à obra, lançamento e adensamento de concreto ou massa em fundação.</w:t>
      </w:r>
    </w:p>
    <w:p w:rsidR="00BD72BC" w:rsidRDefault="00BD72BC">
      <w:pPr>
        <w:rPr>
          <w:sz w:val="23"/>
          <w:szCs w:val="23"/>
        </w:rPr>
      </w:pPr>
    </w:p>
    <w:p w:rsidR="00A5378A" w:rsidRPr="00A5378A" w:rsidRDefault="00753F68" w:rsidP="00A5378A">
      <w:pPr>
        <w:suppressAutoHyphens w:val="0"/>
        <w:overflowPunct/>
        <w:rPr>
          <w:rFonts w:ascii="CIDFont+F1" w:eastAsia="Times New Roman" w:hAnsi="CIDFont+F1" w:cs="Times New Roman"/>
          <w:b/>
          <w:bCs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2.8 </w:t>
      </w:r>
      <w:r w:rsidR="00A5378A" w:rsidRPr="00A5378A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>Alvenaria de bloco cerâmico de vedação de 19 cm</w:t>
      </w:r>
    </w:p>
    <w:p w:rsidR="00A5378A" w:rsidRPr="00A5378A" w:rsidRDefault="00A5378A" w:rsidP="00A5378A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A5378A">
        <w:rPr>
          <w:rFonts w:ascii="Arial" w:eastAsia="Times New Roman" w:hAnsi="Arial" w:cs="Arial"/>
          <w:color w:val="000000"/>
          <w:szCs w:val="20"/>
          <w:lang w:eastAsia="pt-BR"/>
        </w:rPr>
        <w:t>Será medido por área de superfície executada, descontando-se todos os vãos (m²).</w:t>
      </w:r>
    </w:p>
    <w:p w:rsidR="00BD72BC" w:rsidRPr="00A5378A" w:rsidRDefault="00A5378A" w:rsidP="00A5378A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A5378A">
        <w:rPr>
          <w:rFonts w:ascii="Arial" w:eastAsia="Times New Roman" w:hAnsi="Arial" w:cs="Arial"/>
          <w:color w:val="000000"/>
          <w:szCs w:val="20"/>
          <w:lang w:eastAsia="pt-BR"/>
        </w:rPr>
        <w:t>O item remunera o fornecimento de materiais e mão de obra necessária para a execução de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A5378A">
        <w:rPr>
          <w:rFonts w:ascii="Arial" w:eastAsia="Times New Roman" w:hAnsi="Arial" w:cs="Arial"/>
          <w:color w:val="000000"/>
          <w:szCs w:val="20"/>
          <w:lang w:eastAsia="pt-BR"/>
        </w:rPr>
        <w:t>alvenaria de vedação, confeccionada em bloco cerâmico vazado com furo vertical para vedação de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A5378A">
        <w:rPr>
          <w:rFonts w:ascii="Arial" w:eastAsia="Times New Roman" w:hAnsi="Arial" w:cs="Arial"/>
          <w:color w:val="000000"/>
          <w:szCs w:val="20"/>
          <w:lang w:eastAsia="pt-BR"/>
        </w:rPr>
        <w:t>19 x 19 x 39 cm; assentada com argamassa mista de cimento, cal hidratada e areia. Normas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A5378A">
        <w:rPr>
          <w:rFonts w:ascii="Arial" w:eastAsia="Times New Roman" w:hAnsi="Arial" w:cs="Arial"/>
          <w:color w:val="000000"/>
          <w:szCs w:val="20"/>
          <w:lang w:eastAsia="pt-BR"/>
        </w:rPr>
        <w:t>técnicas: NBR 15270-1</w:t>
      </w:r>
    </w:p>
    <w:p w:rsidR="00A5378A" w:rsidRDefault="00A5378A" w:rsidP="00A5378A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2.9 Impermeabilização em argamassa polimérica para umidade e água de percolação</w:t>
      </w:r>
    </w:p>
    <w:p w:rsidR="00BD72BC" w:rsidRDefault="00753F68">
      <w:pPr>
        <w:jc w:val="both"/>
      </w:pPr>
      <w:r>
        <w:rPr>
          <w:rFonts w:ascii="Arial" w:hAnsi="Arial" w:cs="Arial"/>
          <w:sz w:val="23"/>
          <w:szCs w:val="23"/>
        </w:rPr>
        <w:t xml:space="preserve">Será medido por área de impermeabilização executada (m²).  O item remunera o fornecimento de impermeabilização com argamassa polimérica, compreendendo: a) Argamassa polimérica, </w:t>
      </w:r>
      <w:proofErr w:type="spellStart"/>
      <w:r>
        <w:rPr>
          <w:rFonts w:ascii="Arial" w:hAnsi="Arial" w:cs="Arial"/>
          <w:sz w:val="23"/>
          <w:szCs w:val="23"/>
        </w:rPr>
        <w:t>bi-componente</w:t>
      </w:r>
      <w:proofErr w:type="spellEnd"/>
      <w:r>
        <w:rPr>
          <w:rFonts w:ascii="Arial" w:hAnsi="Arial" w:cs="Arial"/>
          <w:sz w:val="23"/>
          <w:szCs w:val="23"/>
        </w:rPr>
        <w:t xml:space="preserve">, à base de dispersão acrílica e cimentos aditivados, com as características técnicas, - </w:t>
      </w:r>
      <w:proofErr w:type="spellStart"/>
      <w:r>
        <w:rPr>
          <w:rFonts w:ascii="Arial" w:hAnsi="Arial" w:cs="Arial"/>
          <w:sz w:val="23"/>
          <w:szCs w:val="23"/>
        </w:rPr>
        <w:t>Bi-componente</w:t>
      </w:r>
      <w:proofErr w:type="spellEnd"/>
      <w:r>
        <w:rPr>
          <w:rFonts w:ascii="Arial" w:hAnsi="Arial" w:cs="Arial"/>
          <w:sz w:val="23"/>
          <w:szCs w:val="23"/>
        </w:rPr>
        <w:t xml:space="preserve">: componente A (resina) à base de polímeros acrílicos, componente B (pó cinza) à base de cimentos especiais, dotados de aditivos impermeabilizantes, plastificantes e agregados minerais preparados na proporção recomendada pelo fabricante, atóxico, inodoro, que não altera a potabilidade da água; referência comercial Denver TEC-100 da Dever Global, </w:t>
      </w:r>
      <w:proofErr w:type="spellStart"/>
      <w:r>
        <w:rPr>
          <w:rFonts w:ascii="Arial" w:hAnsi="Arial" w:cs="Arial"/>
          <w:sz w:val="23"/>
          <w:szCs w:val="23"/>
        </w:rPr>
        <w:t>Viaplus</w:t>
      </w:r>
      <w:proofErr w:type="spellEnd"/>
      <w:r>
        <w:rPr>
          <w:rFonts w:ascii="Arial" w:hAnsi="Arial" w:cs="Arial"/>
          <w:sz w:val="23"/>
          <w:szCs w:val="23"/>
        </w:rPr>
        <w:t xml:space="preserve"> 1000 ou </w:t>
      </w:r>
      <w:proofErr w:type="spellStart"/>
      <w:r>
        <w:rPr>
          <w:rFonts w:ascii="Arial" w:hAnsi="Arial" w:cs="Arial"/>
          <w:sz w:val="23"/>
          <w:szCs w:val="23"/>
        </w:rPr>
        <w:t>Viaplus</w:t>
      </w:r>
      <w:proofErr w:type="spellEnd"/>
      <w:r>
        <w:rPr>
          <w:rFonts w:ascii="Arial" w:hAnsi="Arial" w:cs="Arial"/>
          <w:sz w:val="23"/>
          <w:szCs w:val="23"/>
        </w:rPr>
        <w:t xml:space="preserve"> TOP da </w:t>
      </w:r>
      <w:proofErr w:type="spellStart"/>
      <w:r>
        <w:rPr>
          <w:rFonts w:ascii="Arial" w:hAnsi="Arial" w:cs="Arial"/>
          <w:sz w:val="23"/>
          <w:szCs w:val="23"/>
        </w:rPr>
        <w:lastRenderedPageBreak/>
        <w:t>Viapol</w:t>
      </w:r>
      <w:proofErr w:type="spellEnd"/>
      <w:r>
        <w:rPr>
          <w:rFonts w:ascii="Arial" w:hAnsi="Arial" w:cs="Arial"/>
          <w:sz w:val="23"/>
          <w:szCs w:val="23"/>
        </w:rPr>
        <w:t xml:space="preserve"> ou equivalente, desde que atenda às exigências mínimas da NBR 11905 e às características técnicas acima descritas; - Materiais acessórios e a mão de obra necessária para a execução dos serviços, inclusive limpeza da superfície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2.10 Impermeabilização em pintura de asfalto oxidado com solventes orgânicos, sobre massa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por área de superfície impermeabilizada (m²). 2) O item remunera o fornecimento de impermeabilização flexível em pintura asfáltica com solventes orgânicos, compreendendo: - Solução asfáltica composta por asfalto modificado e solventes orgânicos, com as características técnicas: Densidade &gt; 0,90 g/cm³, conforme NBR 5829, secagem ao toque &lt; 2h40min, conforme NBR 9558; referência comercial </w:t>
      </w:r>
      <w:proofErr w:type="spellStart"/>
      <w:r>
        <w:rPr>
          <w:rFonts w:ascii="Arial" w:hAnsi="Arial" w:cs="Arial"/>
          <w:sz w:val="23"/>
          <w:szCs w:val="23"/>
        </w:rPr>
        <w:t>Denvermanta</w:t>
      </w:r>
      <w:proofErr w:type="spellEnd"/>
      <w:r>
        <w:rPr>
          <w:rFonts w:ascii="Arial" w:hAnsi="Arial" w:cs="Arial"/>
          <w:sz w:val="23"/>
          <w:szCs w:val="23"/>
        </w:rPr>
        <w:t xml:space="preserve"> Primer ou </w:t>
      </w:r>
      <w:proofErr w:type="spellStart"/>
      <w:r>
        <w:rPr>
          <w:rFonts w:ascii="Arial" w:hAnsi="Arial" w:cs="Arial"/>
          <w:sz w:val="23"/>
          <w:szCs w:val="23"/>
        </w:rPr>
        <w:t>Impermanta</w:t>
      </w:r>
      <w:proofErr w:type="spellEnd"/>
      <w:r>
        <w:rPr>
          <w:rFonts w:ascii="Arial" w:hAnsi="Arial" w:cs="Arial"/>
          <w:sz w:val="23"/>
          <w:szCs w:val="23"/>
        </w:rPr>
        <w:t xml:space="preserve"> Primer da Dever Global, </w:t>
      </w:r>
      <w:proofErr w:type="spellStart"/>
      <w:r>
        <w:rPr>
          <w:rFonts w:ascii="Arial" w:hAnsi="Arial" w:cs="Arial"/>
          <w:sz w:val="23"/>
          <w:szCs w:val="23"/>
        </w:rPr>
        <w:t>Viabit</w:t>
      </w:r>
      <w:proofErr w:type="spellEnd"/>
      <w:r>
        <w:rPr>
          <w:rFonts w:ascii="Arial" w:hAnsi="Arial" w:cs="Arial"/>
          <w:sz w:val="23"/>
          <w:szCs w:val="23"/>
        </w:rPr>
        <w:t xml:space="preserve"> da </w:t>
      </w:r>
      <w:proofErr w:type="spellStart"/>
      <w:r>
        <w:rPr>
          <w:rFonts w:ascii="Arial" w:hAnsi="Arial" w:cs="Arial"/>
          <w:sz w:val="23"/>
          <w:szCs w:val="23"/>
        </w:rPr>
        <w:t>Viapol</w:t>
      </w:r>
      <w:proofErr w:type="spellEnd"/>
      <w:r>
        <w:rPr>
          <w:rFonts w:ascii="Arial" w:hAnsi="Arial" w:cs="Arial"/>
          <w:sz w:val="23"/>
          <w:szCs w:val="23"/>
        </w:rPr>
        <w:t xml:space="preserve">, LW 55 da </w:t>
      </w:r>
      <w:proofErr w:type="spellStart"/>
      <w:r>
        <w:rPr>
          <w:rFonts w:ascii="Arial" w:hAnsi="Arial" w:cs="Arial"/>
          <w:sz w:val="23"/>
          <w:szCs w:val="23"/>
        </w:rPr>
        <w:t>Lwart</w:t>
      </w:r>
      <w:proofErr w:type="spellEnd"/>
      <w:r>
        <w:rPr>
          <w:rFonts w:ascii="Arial" w:hAnsi="Arial" w:cs="Arial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sz w:val="23"/>
          <w:szCs w:val="23"/>
        </w:rPr>
        <w:t>Neutrol</w:t>
      </w:r>
      <w:proofErr w:type="spellEnd"/>
      <w:r>
        <w:rPr>
          <w:rFonts w:ascii="Arial" w:hAnsi="Arial" w:cs="Arial"/>
          <w:sz w:val="23"/>
          <w:szCs w:val="23"/>
        </w:rPr>
        <w:t xml:space="preserve"> da Otto </w:t>
      </w:r>
      <w:proofErr w:type="spellStart"/>
      <w:r>
        <w:rPr>
          <w:rFonts w:ascii="Arial" w:hAnsi="Arial" w:cs="Arial"/>
          <w:sz w:val="23"/>
          <w:szCs w:val="23"/>
        </w:rPr>
        <w:t>Baumgart</w:t>
      </w:r>
      <w:proofErr w:type="spellEnd"/>
      <w:r>
        <w:rPr>
          <w:rFonts w:ascii="Arial" w:hAnsi="Arial" w:cs="Arial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sz w:val="23"/>
          <w:szCs w:val="23"/>
        </w:rPr>
        <w:t>Protex</w:t>
      </w:r>
      <w:proofErr w:type="spellEnd"/>
      <w:r>
        <w:rPr>
          <w:rFonts w:ascii="Arial" w:hAnsi="Arial" w:cs="Arial"/>
          <w:sz w:val="23"/>
          <w:szCs w:val="23"/>
        </w:rPr>
        <w:t xml:space="preserve"> da Wolf. Hacker, </w:t>
      </w:r>
      <w:proofErr w:type="spellStart"/>
      <w:r>
        <w:rPr>
          <w:rFonts w:ascii="Arial" w:hAnsi="Arial" w:cs="Arial"/>
          <w:sz w:val="23"/>
          <w:szCs w:val="23"/>
        </w:rPr>
        <w:t>Igol</w:t>
      </w:r>
      <w:proofErr w:type="spellEnd"/>
      <w:r>
        <w:rPr>
          <w:rFonts w:ascii="Arial" w:hAnsi="Arial" w:cs="Arial"/>
          <w:sz w:val="23"/>
          <w:szCs w:val="23"/>
        </w:rPr>
        <w:t xml:space="preserve"> A da </w:t>
      </w:r>
      <w:proofErr w:type="spellStart"/>
      <w:r>
        <w:rPr>
          <w:rFonts w:ascii="Arial" w:hAnsi="Arial" w:cs="Arial"/>
          <w:sz w:val="23"/>
          <w:szCs w:val="23"/>
        </w:rPr>
        <w:t>Sika</w:t>
      </w:r>
      <w:proofErr w:type="spellEnd"/>
      <w:r>
        <w:rPr>
          <w:rFonts w:ascii="Arial" w:hAnsi="Arial" w:cs="Arial"/>
          <w:sz w:val="23"/>
          <w:szCs w:val="23"/>
        </w:rPr>
        <w:t xml:space="preserve"> ou equivalente, desde que atenda às exigências mínimas da NBR 9686 e às características técnicas acima descritas. Remunera também limpeza da superfície, materiais acessórios e a mão de obra necessária para a execução dos serviços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2.11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Reaterro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manual apiloado sem controle de compactação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pelo volume de </w:t>
      </w:r>
      <w:proofErr w:type="spellStart"/>
      <w:r>
        <w:rPr>
          <w:rFonts w:ascii="Arial" w:hAnsi="Arial" w:cs="Arial"/>
          <w:sz w:val="23"/>
          <w:szCs w:val="23"/>
        </w:rPr>
        <w:t>reaterro</w:t>
      </w:r>
      <w:proofErr w:type="spellEnd"/>
      <w:r>
        <w:rPr>
          <w:rFonts w:ascii="Arial" w:hAnsi="Arial" w:cs="Arial"/>
          <w:sz w:val="23"/>
          <w:szCs w:val="23"/>
        </w:rPr>
        <w:t xml:space="preserve"> em valas, poços ou </w:t>
      </w:r>
      <w:proofErr w:type="gramStart"/>
      <w:r>
        <w:rPr>
          <w:rFonts w:ascii="Arial" w:hAnsi="Arial" w:cs="Arial"/>
          <w:sz w:val="23"/>
          <w:szCs w:val="23"/>
        </w:rPr>
        <w:t>cavas executado</w:t>
      </w:r>
      <w:proofErr w:type="gramEnd"/>
      <w:r>
        <w:rPr>
          <w:rFonts w:ascii="Arial" w:hAnsi="Arial" w:cs="Arial"/>
          <w:sz w:val="23"/>
          <w:szCs w:val="23"/>
        </w:rPr>
        <w:t xml:space="preserve"> (m³). O item remunera o fornecimento da mão de obra necessária para a execução dos serviços de </w:t>
      </w:r>
      <w:proofErr w:type="spellStart"/>
      <w:r>
        <w:rPr>
          <w:rFonts w:ascii="Arial" w:hAnsi="Arial" w:cs="Arial"/>
          <w:sz w:val="23"/>
          <w:szCs w:val="23"/>
        </w:rPr>
        <w:t>reaterro</w:t>
      </w:r>
      <w:proofErr w:type="spellEnd"/>
      <w:r>
        <w:rPr>
          <w:rFonts w:ascii="Arial" w:hAnsi="Arial" w:cs="Arial"/>
          <w:sz w:val="23"/>
          <w:szCs w:val="23"/>
        </w:rPr>
        <w:t xml:space="preserve"> manual apiloado, com material existente ou importado, sem controle de compactação. 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3 ALVENARIA DE VEDAÇÃO</w:t>
      </w:r>
    </w:p>
    <w:p w:rsidR="00BD72BC" w:rsidRDefault="00BD72BC">
      <w:pPr>
        <w:jc w:val="both"/>
        <w:rPr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3.1 Alvenaria de bloco cerâmico de vedação, uso revestido, de 9 cm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por área de superfície executada, descontando-se todos os vãos (m²). O item remunera o fornecimento de materiais e mão-de-obra necessária para a execução de alvenaria de vedação, para uso revestido, confeccionada em bloco cerâmico vazado para vedação de 9 x 19 x 39 cm; assentada com argamassa mista de cimento, cal hidratada e areia. Normas técnicas: NBR 15270-1. 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color w:val="00000A"/>
          <w:sz w:val="23"/>
          <w:szCs w:val="23"/>
        </w:rPr>
        <w:t>4 SUPRAESTRUTURA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>4.1 Forma em madeira comum para estrutura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pelo desenvolvimento das áreas em contato com o concreto, não se descontando áreas de interseção até 0,20 m² (m²). O item remunera o fornecimento de materiais e mão de obra necessários para a execução e instalação de formas para estrutura, em tábua de </w:t>
      </w:r>
      <w:proofErr w:type="spellStart"/>
      <w:r>
        <w:rPr>
          <w:rFonts w:ascii="Arial" w:hAnsi="Arial" w:cs="Arial"/>
          <w:sz w:val="23"/>
          <w:szCs w:val="23"/>
        </w:rPr>
        <w:t>Erisma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uncinatum</w:t>
      </w:r>
      <w:proofErr w:type="spellEnd"/>
      <w:r>
        <w:rPr>
          <w:rFonts w:ascii="Arial" w:hAnsi="Arial" w:cs="Arial"/>
          <w:sz w:val="23"/>
          <w:szCs w:val="23"/>
        </w:rPr>
        <w:t xml:space="preserve"> (conhecido como </w:t>
      </w:r>
      <w:proofErr w:type="spellStart"/>
      <w:r>
        <w:rPr>
          <w:rFonts w:ascii="Arial" w:hAnsi="Arial" w:cs="Arial"/>
          <w:sz w:val="23"/>
          <w:szCs w:val="23"/>
        </w:rPr>
        <w:t>Quarubarana</w:t>
      </w:r>
      <w:proofErr w:type="spellEnd"/>
      <w:r>
        <w:rPr>
          <w:rFonts w:ascii="Arial" w:hAnsi="Arial" w:cs="Arial"/>
          <w:sz w:val="23"/>
          <w:szCs w:val="23"/>
        </w:rPr>
        <w:t xml:space="preserve"> ou Cedrinho) ou </w:t>
      </w:r>
      <w:proofErr w:type="spellStart"/>
      <w:r>
        <w:rPr>
          <w:rFonts w:ascii="Arial" w:hAnsi="Arial" w:cs="Arial"/>
          <w:sz w:val="23"/>
          <w:szCs w:val="23"/>
        </w:rPr>
        <w:t>Qualea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spp</w:t>
      </w:r>
      <w:proofErr w:type="spellEnd"/>
      <w:r>
        <w:rPr>
          <w:rFonts w:ascii="Arial" w:hAnsi="Arial" w:cs="Arial"/>
          <w:sz w:val="23"/>
          <w:szCs w:val="23"/>
        </w:rPr>
        <w:t xml:space="preserve"> (conhecida como Cambará) de 1 x 12 e pontaletes de </w:t>
      </w:r>
      <w:proofErr w:type="spellStart"/>
      <w:r>
        <w:rPr>
          <w:rFonts w:ascii="Arial" w:hAnsi="Arial" w:cs="Arial"/>
          <w:sz w:val="23"/>
          <w:szCs w:val="23"/>
        </w:rPr>
        <w:t>Erisma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uncinatum</w:t>
      </w:r>
      <w:proofErr w:type="spellEnd"/>
      <w:r>
        <w:rPr>
          <w:rFonts w:ascii="Arial" w:hAnsi="Arial" w:cs="Arial"/>
          <w:sz w:val="23"/>
          <w:szCs w:val="23"/>
        </w:rPr>
        <w:t xml:space="preserve"> (conhecido como </w:t>
      </w:r>
      <w:proofErr w:type="spellStart"/>
      <w:r>
        <w:rPr>
          <w:rFonts w:ascii="Arial" w:hAnsi="Arial" w:cs="Arial"/>
          <w:sz w:val="23"/>
          <w:szCs w:val="23"/>
        </w:rPr>
        <w:t>Quarubarana</w:t>
      </w:r>
      <w:proofErr w:type="spellEnd"/>
      <w:r>
        <w:rPr>
          <w:rFonts w:ascii="Arial" w:hAnsi="Arial" w:cs="Arial"/>
          <w:sz w:val="23"/>
          <w:szCs w:val="23"/>
        </w:rPr>
        <w:t xml:space="preserve"> ou Cedrinho) ou </w:t>
      </w:r>
      <w:proofErr w:type="spellStart"/>
      <w:r>
        <w:rPr>
          <w:rFonts w:ascii="Arial" w:hAnsi="Arial" w:cs="Arial"/>
          <w:sz w:val="23"/>
          <w:szCs w:val="23"/>
        </w:rPr>
        <w:t>Qualea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spp</w:t>
      </w:r>
      <w:proofErr w:type="spellEnd"/>
      <w:r>
        <w:rPr>
          <w:rFonts w:ascii="Arial" w:hAnsi="Arial" w:cs="Arial"/>
          <w:sz w:val="23"/>
          <w:szCs w:val="23"/>
        </w:rPr>
        <w:t xml:space="preserve"> (conhecida como Cambará) de 3 x 3; incluindo </w:t>
      </w:r>
      <w:proofErr w:type="spellStart"/>
      <w:r>
        <w:rPr>
          <w:rFonts w:ascii="Arial" w:hAnsi="Arial" w:cs="Arial"/>
          <w:sz w:val="23"/>
          <w:szCs w:val="23"/>
        </w:rPr>
        <w:t>cimbramento</w:t>
      </w:r>
      <w:proofErr w:type="spellEnd"/>
      <w:r>
        <w:rPr>
          <w:rFonts w:ascii="Arial" w:hAnsi="Arial" w:cs="Arial"/>
          <w:sz w:val="23"/>
          <w:szCs w:val="23"/>
        </w:rPr>
        <w:t xml:space="preserve"> até 3 m de altura, gravatas, sarrafos de enrijecimento, desmoldante, desforma e </w:t>
      </w:r>
      <w:proofErr w:type="spellStart"/>
      <w:r>
        <w:rPr>
          <w:rFonts w:ascii="Arial" w:hAnsi="Arial" w:cs="Arial"/>
          <w:sz w:val="23"/>
          <w:szCs w:val="23"/>
        </w:rPr>
        <w:t>descimbramento</w:t>
      </w:r>
      <w:proofErr w:type="spellEnd"/>
      <w:r>
        <w:rPr>
          <w:rFonts w:ascii="Arial" w:hAnsi="Arial" w:cs="Arial"/>
          <w:sz w:val="23"/>
          <w:szCs w:val="23"/>
        </w:rPr>
        <w:t xml:space="preserve">. </w:t>
      </w:r>
    </w:p>
    <w:p w:rsidR="007F7BE5" w:rsidRDefault="007F7BE5">
      <w:pPr>
        <w:jc w:val="both"/>
        <w:rPr>
          <w:rFonts w:ascii="Arial" w:hAnsi="Arial" w:cs="Arial"/>
          <w:sz w:val="23"/>
          <w:szCs w:val="23"/>
        </w:rPr>
      </w:pPr>
    </w:p>
    <w:p w:rsidR="007F7BE5" w:rsidRDefault="007F7BE5">
      <w:pPr>
        <w:jc w:val="both"/>
        <w:rPr>
          <w:rFonts w:ascii="Arial" w:hAnsi="Arial" w:cs="Arial"/>
          <w:sz w:val="23"/>
          <w:szCs w:val="23"/>
        </w:rPr>
      </w:pP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>4.2 Desmontagem de forma em madeira para estrutura de vigas, com tábuas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área de forma desmontada (m</w:t>
      </w:r>
      <w:proofErr w:type="gramStart"/>
      <w:r>
        <w:rPr>
          <w:rFonts w:ascii="Arial" w:hAnsi="Arial" w:cs="Arial"/>
          <w:sz w:val="23"/>
          <w:szCs w:val="23"/>
        </w:rPr>
        <w:t>²)  O</w:t>
      </w:r>
      <w:proofErr w:type="gramEnd"/>
      <w:r>
        <w:rPr>
          <w:rFonts w:ascii="Arial" w:hAnsi="Arial" w:cs="Arial"/>
          <w:sz w:val="23"/>
          <w:szCs w:val="23"/>
        </w:rPr>
        <w:t xml:space="preserve"> item remunera a mão de obra necessária para desmontagem completa de forma de madeira maciça para vigas, com tábuas e sarrafos. 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4.3 Armadura em barra de aço CA-50 (A ou B)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= 500 MPa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Será medido pelo peso nominal das bitolas constantes no projeto de armadura (kg). O item remunera o fornecimento de aço CA-50 (A ou B) com </w:t>
      </w:r>
      <w:proofErr w:type="spellStart"/>
      <w:r>
        <w:rPr>
          <w:rFonts w:ascii="Arial" w:hAnsi="Arial" w:cs="Arial"/>
          <w:sz w:val="23"/>
          <w:szCs w:val="23"/>
        </w:rPr>
        <w:t>fyk</w:t>
      </w:r>
      <w:proofErr w:type="spellEnd"/>
      <w:r>
        <w:rPr>
          <w:rFonts w:ascii="Arial" w:hAnsi="Arial" w:cs="Arial"/>
          <w:sz w:val="23"/>
          <w:szCs w:val="23"/>
        </w:rPr>
        <w:t xml:space="preserve"> igual 500 MPa, dobramento, transporte e colocação de armaduras de qualquer bitola e qualquer comprimento; estão incluídos no item os serviços e materiais secundários como arame, espaçadores, perdas decorrentes de </w:t>
      </w:r>
      <w:proofErr w:type="spellStart"/>
      <w:r>
        <w:rPr>
          <w:rFonts w:ascii="Arial" w:hAnsi="Arial" w:cs="Arial"/>
          <w:sz w:val="23"/>
          <w:szCs w:val="23"/>
        </w:rPr>
        <w:t>desbitolamento</w:t>
      </w:r>
      <w:proofErr w:type="spellEnd"/>
      <w:r>
        <w:rPr>
          <w:rFonts w:ascii="Arial" w:hAnsi="Arial" w:cs="Arial"/>
          <w:sz w:val="23"/>
          <w:szCs w:val="23"/>
        </w:rPr>
        <w:t>, cortes e pontas de traspasse para emendas.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4.4 Armadura em barra de aço CA-60 (A ou B)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= 600 MPa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pelo peso nominal das bitolas constantes no projeto de armadura (kg). O item remunera o fornecimento de aço CA-60 (A ou B) com </w:t>
      </w:r>
      <w:proofErr w:type="spellStart"/>
      <w:r>
        <w:rPr>
          <w:rFonts w:ascii="Arial" w:hAnsi="Arial" w:cs="Arial"/>
          <w:sz w:val="23"/>
          <w:szCs w:val="23"/>
        </w:rPr>
        <w:t>fyk</w:t>
      </w:r>
      <w:proofErr w:type="spellEnd"/>
      <w:r>
        <w:rPr>
          <w:rFonts w:ascii="Arial" w:hAnsi="Arial" w:cs="Arial"/>
          <w:sz w:val="23"/>
          <w:szCs w:val="23"/>
        </w:rPr>
        <w:t xml:space="preserve"> igual 600 MPa, dobramento, transporte e colocação de armaduras de qualquer bitola e qualquer comprimento; estão incluídos no item os serviços e materiais secundários como arame, espaçadores, perdas decorrentes de </w:t>
      </w:r>
      <w:proofErr w:type="spellStart"/>
      <w:r>
        <w:rPr>
          <w:rFonts w:ascii="Arial" w:hAnsi="Arial" w:cs="Arial"/>
          <w:sz w:val="23"/>
          <w:szCs w:val="23"/>
        </w:rPr>
        <w:t>desbitolamento</w:t>
      </w:r>
      <w:proofErr w:type="spellEnd"/>
      <w:r>
        <w:rPr>
          <w:rFonts w:ascii="Arial" w:hAnsi="Arial" w:cs="Arial"/>
          <w:sz w:val="23"/>
          <w:szCs w:val="23"/>
        </w:rPr>
        <w:t>, cortes e pontas de traspasse para emendas.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4.5 Concreto usinado,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fck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= 25 MPa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volume calculado no projeto de formas, sendo que o volume da interseção dos diversos elementos estruturais deve ser computado uma só vez (m³). O item remunera o fornecimento, posto obra, de concreto usinado, resistência mínima à compressão de 25 MPa, plasticidade (</w:t>
      </w:r>
      <w:proofErr w:type="spellStart"/>
      <w:r>
        <w:rPr>
          <w:rFonts w:ascii="Arial" w:hAnsi="Arial" w:cs="Arial"/>
          <w:sz w:val="23"/>
          <w:szCs w:val="23"/>
        </w:rPr>
        <w:t>slump</w:t>
      </w:r>
      <w:proofErr w:type="spellEnd"/>
      <w:r>
        <w:rPr>
          <w:rFonts w:ascii="Arial" w:hAnsi="Arial" w:cs="Arial"/>
          <w:sz w:val="23"/>
          <w:szCs w:val="23"/>
        </w:rPr>
        <w:t>) de 5 + 1 cm, preparado com britas 1 e 2.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>4.6 Lançamento e adensamento de concreto ou massa em estrutura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pelo volume calculado no projeto de formas; sendo que o volume da interseção dos diversos elementos estruturais deve ser computado uma só vez (m³). O item remunera o fornecimento de equipamentos e mão de obra necessários para o transporte interno à obra, lançamento e adensamento de concreto ou massa em estrutura. </w:t>
      </w:r>
    </w:p>
    <w:p w:rsidR="00BD72BC" w:rsidRDefault="00BD72BC">
      <w:pPr>
        <w:jc w:val="both"/>
        <w:rPr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>4.7 Laje pré-fabricada mista vigota treliçada/lajota cerâmica - LT 12 (8+4) e capa com concreto de 25 MPa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delimitada pelos eixos das paredes e/ou vigas (m²).  O item remunera o fornecimento de vigota pré-fabricada treliçada (VT) e lajota cerâmica com altura de 8 cm; concreto com </w:t>
      </w:r>
      <w:proofErr w:type="spellStart"/>
      <w:r>
        <w:rPr>
          <w:rFonts w:ascii="Arial" w:hAnsi="Arial" w:cs="Arial"/>
          <w:sz w:val="23"/>
          <w:szCs w:val="23"/>
        </w:rPr>
        <w:t>fck</w:t>
      </w:r>
      <w:proofErr w:type="spellEnd"/>
      <w:r>
        <w:rPr>
          <w:rFonts w:ascii="Arial" w:hAnsi="Arial" w:cs="Arial"/>
          <w:sz w:val="23"/>
          <w:szCs w:val="23"/>
        </w:rPr>
        <w:t xml:space="preserve"> maior ou igual a 25 MPa, para o capeamento, conforme NBR 6118; materiais acessórios e a mão de obra necessária para a execução dos serviços de estocagem das vigotas e lajotas cerâmicas; conforme exigências e recomendações do fabricante; o transporte interno à obra; o içamento das vigotas e das lajotas cerâmicas; a montagem completa das vigotas treliçadas e das lajotas cerâmicas; a execução do capeamento com 4 cm de altura, resultando laje mista com altura total de 12 cm; a execução e instalação da armadura de distribuição posicionada na capa, para o controle da fissuração; o escoramento até 3,00 m de altura e a retirada do mesmo. Não remunera o fornecimento de materiais e a mão de obra para a execução da armadura transversal, da armadura superior de tração nos apoios e balanços, quando necessárias e também do aço para armadura de distribuição.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7F7BE5" w:rsidRDefault="007F7BE5">
      <w:pPr>
        <w:jc w:val="both"/>
        <w:rPr>
          <w:rFonts w:ascii="Arial" w:hAnsi="Arial" w:cs="Arial"/>
          <w:sz w:val="23"/>
          <w:szCs w:val="23"/>
        </w:rPr>
      </w:pPr>
    </w:p>
    <w:p w:rsidR="00BD72BC" w:rsidRDefault="00BD72BC">
      <w:pPr>
        <w:jc w:val="both"/>
        <w:rPr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color w:val="00000A"/>
          <w:sz w:val="23"/>
          <w:szCs w:val="23"/>
        </w:rPr>
        <w:t>5 VIGAS INTERMEDIARIAS E DE COROAMENTO 03 UNIDADES</w:t>
      </w:r>
    </w:p>
    <w:p w:rsidR="00BD72BC" w:rsidRDefault="00BD72BC">
      <w:pPr>
        <w:rPr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color w:val="00000A"/>
          <w:sz w:val="23"/>
          <w:szCs w:val="23"/>
        </w:rPr>
        <w:t xml:space="preserve">5.1 </w:t>
      </w: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Armadura em barra de aço CA-50 (A ou B)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= 500 MPa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pelo peso nominal das bitolas constantes no projeto de armadura (kg). O item remunera o fornecimento de aço CA-50 (A ou B) com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fyk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igual 500 MPa, dobramento, transporte e colocação de armaduras de qualquer bitola e qualquer comprimento; estão incluídos no item os serviços e materiais secundários como arame, espaçadores, perdas decorrentes de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desbitolamento</w:t>
      </w:r>
      <w:proofErr w:type="spellEnd"/>
      <w:r>
        <w:rPr>
          <w:rFonts w:ascii="Arial" w:hAnsi="Arial" w:cs="Arial"/>
          <w:color w:val="00000A"/>
          <w:sz w:val="23"/>
          <w:szCs w:val="23"/>
        </w:rPr>
        <w:t>, cortes e pontas de traspasse para emendas.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color w:val="00000A"/>
          <w:sz w:val="23"/>
          <w:szCs w:val="23"/>
        </w:rPr>
        <w:t xml:space="preserve">5.2 </w:t>
      </w: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Concreto usinado,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fck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= 25 MPa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volume calculado no projeto de formas, sendo que o volume da interseção dos diversos elementos estruturais deve ser computado uma só vez (m³). O item remunera o fornecimento, posto obra, de concreto usinado, resistência mínima à compressão de 25 MPa, plasticidade (</w:t>
      </w:r>
      <w:proofErr w:type="spellStart"/>
      <w:r>
        <w:rPr>
          <w:rFonts w:ascii="Arial" w:hAnsi="Arial" w:cs="Arial"/>
          <w:sz w:val="23"/>
          <w:szCs w:val="23"/>
        </w:rPr>
        <w:t>slump</w:t>
      </w:r>
      <w:proofErr w:type="spellEnd"/>
      <w:r>
        <w:rPr>
          <w:rFonts w:ascii="Arial" w:hAnsi="Arial" w:cs="Arial"/>
          <w:sz w:val="23"/>
          <w:szCs w:val="23"/>
        </w:rPr>
        <w:t xml:space="preserve">) de 5 + 1 cm, preparado com britas 1 e 2 </w:t>
      </w:r>
    </w:p>
    <w:p w:rsidR="00BD72BC" w:rsidRDefault="00BD72BC">
      <w:pPr>
        <w:jc w:val="both"/>
        <w:rPr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color w:val="00000A"/>
          <w:sz w:val="23"/>
          <w:szCs w:val="23"/>
        </w:rPr>
        <w:t xml:space="preserve">5.3 </w:t>
      </w:r>
      <w:r>
        <w:rPr>
          <w:rFonts w:ascii="Arial" w:hAnsi="Arial" w:cs="Arial"/>
          <w:b/>
          <w:bCs/>
          <w:color w:val="00000A"/>
          <w:sz w:val="23"/>
          <w:szCs w:val="23"/>
        </w:rPr>
        <w:t>Lançamento e adensamento de concreto ou massa em estrutura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>Será medido pelo volume calculado no projeto de formas; sendo que o volume da interseção dos diversos elementos estruturais deve ser computado uma só vez (m³). O item remunera o fornecimento de equipamentos e mão de obra necessários para o transporte interno à obra, lançamento e adensamento de concreto ou massa em estrutura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 </w:t>
      </w:r>
    </w:p>
    <w:p w:rsidR="00BD72BC" w:rsidRDefault="00753F68">
      <w:pPr>
        <w:jc w:val="both"/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6 OITÃO</w:t>
      </w:r>
      <w:r w:rsidR="007F7BE5">
        <w:rPr>
          <w:rFonts w:ascii="Arial" w:hAnsi="Arial" w:cs="Arial"/>
          <w:b/>
          <w:color w:val="00000A"/>
          <w:sz w:val="23"/>
          <w:szCs w:val="23"/>
        </w:rPr>
        <w:t xml:space="preserve"> (2 ÁGUAS)</w:t>
      </w:r>
    </w:p>
    <w:p w:rsidR="00BD72BC" w:rsidRDefault="00BD72BC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bCs/>
          <w:color w:val="00000A"/>
          <w:sz w:val="23"/>
          <w:szCs w:val="23"/>
        </w:rPr>
        <w:t>6.1 Alvenaria de bloco cerâmico de vedação, uso revestido, de 9 cm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por área de superfície executada, descontando-se todos os vãos (m²). O item remunera o fornecimento de materiais e mão-de-obra necessária para a execução de alvenaria de vedação, para uso revestido, confeccionada em bloco cerâmico vazado para vedação de 9 x 19 x 39 cm; assentada com argamassa mista de cimento, cal hidratada e areia. Normas técnicas: NBR 15270-1. 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6.2 Chapisco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revestida com chapisco,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desenvolvidas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cimento, areia e a mão-de-obra necessária para a execução do chapisco.</w:t>
      </w:r>
    </w:p>
    <w:p w:rsidR="00BD72BC" w:rsidRDefault="00BD72BC">
      <w:pPr>
        <w:suppressAutoHyphens w:val="0"/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6.3 Emboço desempenado com espuma de poliéster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revestida com emboço,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desenvolvidas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cal hidratada, areia, cimento e a mão-de-obra necessária para a execução do emboço desempenado com espuma de poliéster.</w:t>
      </w:r>
    </w:p>
    <w:p w:rsidR="00BD72BC" w:rsidRDefault="00BD72BC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7F7BE5" w:rsidRDefault="007F7BE5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7F7BE5" w:rsidRDefault="007F7BE5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BD72BC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7 COBERTURA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7.1 Estrutura em terças para telhas de barro</w:t>
      </w:r>
    </w:p>
    <w:p w:rsidR="00BD72BC" w:rsidRDefault="00753F68">
      <w:pPr>
        <w:jc w:val="both"/>
      </w:pPr>
      <w:r>
        <w:rPr>
          <w:rFonts w:ascii="Arial" w:hAnsi="Arial" w:cs="Arial"/>
          <w:color w:val="00000A"/>
          <w:sz w:val="23"/>
          <w:szCs w:val="23"/>
        </w:rPr>
        <w:t xml:space="preserve">Será medido pela área de projeção horizontal da estrutura (m²).  O item remunera o fornecimento de: madeira seca maciça, referência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Goupia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glabra (conhecida como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Cupiúba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), ou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Erisma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uncinatum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(conhecido como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Quarubarana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ou Cedrinho), ou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Qualea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spp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(conhecida como Cambará), ou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Manilkara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spp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(conhecida também como Maçaranduba), ou outra madeira equivalente classificada conforme a resistência à compressão paralela às fibras de acordo com a NBR 7190, livre de esmagamentos, isenta de defeitos como nós, fendas ou rachaduras, arqueamento, sinais de deterioração por insetos ou fungos,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desbitolamento</w:t>
      </w:r>
      <w:proofErr w:type="spellEnd"/>
      <w:r>
        <w:rPr>
          <w:rFonts w:ascii="Arial" w:hAnsi="Arial" w:cs="Arial"/>
          <w:color w:val="00000A"/>
          <w:sz w:val="23"/>
          <w:szCs w:val="23"/>
        </w:rPr>
        <w:t>, ou qualquer outro defeito que comprometa a resistência da madeira; ferragem específica para estrutura abrangendo chumbadores, pregos, parafusos e porcas em aço com acabamento galvanizado a fogo; materiais acessórios inclusos; equipamentos e a mão de obra necessária para a confecção e montagem de estrutura completa em terças, para cobertura em telhas cerâmicas, constituída por: terças apoiadas diretamente sobre oitões em alvenaria, ou pilares em alvenaria devidamente amarrados, caibros e ripas, nas dimensões conforme projeto aprovado pela Contratante e/ou Fiscalização e determinações na NBR 7190. Não remunera a execução de oitões ou pilares em alvenaria</w:t>
      </w:r>
      <w:r>
        <w:rPr>
          <w:sz w:val="23"/>
          <w:szCs w:val="23"/>
        </w:rPr>
        <w:t>.</w:t>
      </w:r>
    </w:p>
    <w:p w:rsidR="00BD72BC" w:rsidRDefault="00753F6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7.2 Telha de barro tipo romana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pela área de cobertura em projeção horizontal (m²) com os acréscimos: 5% para coberturas de 18% a 27% de inclinação; 8% para coberturas de 28% a 38% de inclinação; 12% para coberturas de 39% a 50% de inclinação. O item remunera o fornecimento das telhas, materiais, acessórios e a mão-de-obra necessária para a colocação, fixação e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emboçamento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das telhas. </w:t>
      </w:r>
    </w:p>
    <w:p w:rsidR="00BD72BC" w:rsidRDefault="00BD72BC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7.3 Calha, rufo, afins em chapa galvanizada nº 26 - corte 0,33 m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por comprimento instalado (m). O item remunera o fornecimento e instalação de calhas ou rufos em chapa galvanizada nº 26, com largura de 33 cm; inclusive materiais acessórios para emendas, junção em outras peças, vedação e fixação. 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7.4 Testeira em tábua aparelhada, largura até 20cm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por comprimento de testeira executada (m).  O item remunera o fornecimento de tábua aparelhada em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Cupiúba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(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Goupia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glabra), ou Maçaranduba (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Manilkara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spp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), conhecida também como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Paraju</w:t>
      </w:r>
      <w:proofErr w:type="spellEnd"/>
      <w:r>
        <w:rPr>
          <w:rFonts w:ascii="Arial" w:hAnsi="Arial" w:cs="Arial"/>
          <w:color w:val="00000A"/>
          <w:sz w:val="23"/>
          <w:szCs w:val="23"/>
        </w:rPr>
        <w:t>, de 20 cm; materiais acessórios e a mão de obra necessária para a execução da testeira</w:t>
      </w:r>
      <w:r w:rsidR="007F7BE5">
        <w:rPr>
          <w:rFonts w:ascii="Arial" w:hAnsi="Arial" w:cs="Arial"/>
          <w:color w:val="00000A"/>
          <w:sz w:val="23"/>
          <w:szCs w:val="23"/>
        </w:rPr>
        <w:t>.</w:t>
      </w:r>
    </w:p>
    <w:p w:rsidR="007F7BE5" w:rsidRDefault="007F7BE5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7F7BE5" w:rsidRPr="007F7BE5" w:rsidRDefault="007F7BE5" w:rsidP="007F7BE5">
      <w:pPr>
        <w:suppressAutoHyphens w:val="0"/>
        <w:overflowPunct/>
        <w:rPr>
          <w:rFonts w:ascii="Arial" w:eastAsia="Times New Roman" w:hAnsi="Arial" w:cs="Arial"/>
          <w:b/>
          <w:bCs/>
          <w:color w:val="000000"/>
          <w:szCs w:val="22"/>
          <w:lang w:eastAsia="pt-BR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7.5 </w:t>
      </w:r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 xml:space="preserve">Cumeeira de barro emboçado tipos: </w:t>
      </w:r>
      <w:proofErr w:type="spellStart"/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>plan</w:t>
      </w:r>
      <w:proofErr w:type="spellEnd"/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>, romana, italiana, francesa e paulistinha</w:t>
      </w:r>
    </w:p>
    <w:p w:rsidR="007F7BE5" w:rsidRP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Será medido pelo comprimento executado (m).</w:t>
      </w:r>
    </w:p>
    <w:p w:rsidR="007F7BE5" w:rsidRP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O item remunera o fornecimento das peças de cumeeiras, materiais acessórios e a mão-de-obra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necessária para o assentamento e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emboçamento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 das peças.</w:t>
      </w:r>
    </w:p>
    <w:p w:rsidR="007F7BE5" w:rsidRDefault="007F7BE5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7F7BE5" w:rsidRDefault="007F7BE5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BD72BC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BD72BC">
      <w:pPr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8 ELÉTRICA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8.1 Eletroduto de PVC corrugado flexível leve, diâmetro externo de 25 mm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pelo comprimento de eletroduto instalado (m).  O item remunera o fornecimento e instalação de eletroduto em PVC corrugado flexível, tipo leve, diâmetro externo de 25 mm, diâmetro interno de 19,0 mm, espessura da parede de 0,3 mm, referência 3/4´´, cor amarela, referência </w:t>
      </w:r>
      <w:proofErr w:type="spellStart"/>
      <w:r>
        <w:rPr>
          <w:rFonts w:ascii="Arial" w:hAnsi="Arial" w:cs="Arial"/>
          <w:sz w:val="23"/>
          <w:szCs w:val="23"/>
        </w:rPr>
        <w:t>Tigreflex</w:t>
      </w:r>
      <w:proofErr w:type="spellEnd"/>
      <w:r>
        <w:rPr>
          <w:rFonts w:ascii="Arial" w:hAnsi="Arial" w:cs="Arial"/>
          <w:sz w:val="23"/>
          <w:szCs w:val="23"/>
        </w:rPr>
        <w:t xml:space="preserve">, fabricação da Tigre, ou equivalente, para instalações elétricas e de telefonia, somente quando embutidas em paredes de alvenaria; remunera também o fornecimento de materiais acessórios e a mão-de-obra necessária para a execução dos serviços: abertura e fechamento de rasgos em paredes e a instalação de arame galvanizado para servir de guia à enfiação, inclusive nas tubulações secas. 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8.2 Caixa em PVC de 4´ x 2´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caixa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 xml:space="preserve">). O item remunera o fornecimento e instalação de caixa de 4 x 2, em PVC rígido, antichama, na cor amarela, com olhais para instalação de eletrodutos e orelhas para fixação de espelho; referência comercial </w:t>
      </w:r>
      <w:proofErr w:type="spellStart"/>
      <w:r>
        <w:rPr>
          <w:rFonts w:ascii="Arial" w:hAnsi="Arial" w:cs="Arial"/>
          <w:sz w:val="23"/>
          <w:szCs w:val="23"/>
        </w:rPr>
        <w:t>Tigreflex</w:t>
      </w:r>
      <w:proofErr w:type="spellEnd"/>
      <w:r>
        <w:rPr>
          <w:rFonts w:ascii="Arial" w:hAnsi="Arial" w:cs="Arial"/>
          <w:sz w:val="23"/>
          <w:szCs w:val="23"/>
        </w:rPr>
        <w:t xml:space="preserve"> da Tigre, 57500/071 da Tramontina ou equivalente. 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8.3 Cabo de cobre de 1,5 mm², isolamento 750 V - isolação em PVC 70°C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comprimento de cabo instalado (m). O item remunera o fornecimento de cabo de cobre eletrolítico de alta condutibilidade, revestimento termoplástico em PVC para isolação de temperatura até 70ºC e nível de isolamento para tensões até 750 V; remunera também materiais e a mão-de-obra necessária para a enfiação e instalação do cabo. Norma técnica: NBR NM 247-1.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8.4 Cabo de cobre de 2,5 mm², isolamento 750 V - isolação em PVC 70°C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pelo comprimento de cabo instalado (m). O item remunera o fornecimento de cabo de cobre eletrolítico de alta condutibilidade, revestimento termoplástico em PVC para isolação de temperatura até 70ºC e nível de isolamento para tensões até 750 V; remunera também materiais e a mão-de-obra necessária para a enfiação e instalação do cabo. Norma técnica: NBR NM 247-1. 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8.5 Cabo de cobre de 6 mm², isolamento 750 V - isolação em PVC 70°C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comprimento de cabo instalado (m).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cabo de cobre eletrolítico de alta condutibilidade,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revestimento termoplástico em PVC para isolação de temperatura até 70ºC e nível de isolamento para tensões até 750 V; remunera também materiais e a mão-de-obra necessária para a enfiação e instalação do cabo. Norma técnica: NBR NM 247-1.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8.6 </w:t>
      </w:r>
      <w:proofErr w:type="spellStart"/>
      <w:r>
        <w:rPr>
          <w:rFonts w:ascii="Arial" w:hAnsi="Arial" w:cs="Arial"/>
          <w:b/>
          <w:bCs/>
          <w:sz w:val="23"/>
          <w:szCs w:val="23"/>
        </w:rPr>
        <w:t>Plafon</w:t>
      </w:r>
      <w:proofErr w:type="spellEnd"/>
      <w:r>
        <w:rPr>
          <w:rFonts w:ascii="Arial" w:hAnsi="Arial" w:cs="Arial"/>
          <w:b/>
          <w:bCs/>
          <w:sz w:val="23"/>
          <w:szCs w:val="23"/>
        </w:rPr>
        <w:t xml:space="preserve"> plástico e/ou PVC para acabamento de ponto de luz, com soquete E-27</w:t>
      </w: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para lâmpada fluorescente compacta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por unidade de </w:t>
      </w:r>
      <w:proofErr w:type="spellStart"/>
      <w:r>
        <w:rPr>
          <w:rFonts w:ascii="Arial" w:hAnsi="Arial" w:cs="Arial"/>
          <w:sz w:val="23"/>
          <w:szCs w:val="23"/>
        </w:rPr>
        <w:t>plafon</w:t>
      </w:r>
      <w:proofErr w:type="spellEnd"/>
      <w:r>
        <w:rPr>
          <w:rFonts w:ascii="Arial" w:hAnsi="Arial" w:cs="Arial"/>
          <w:sz w:val="23"/>
          <w:szCs w:val="23"/>
        </w:rPr>
        <w:t xml:space="preserve"> instalado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item remunera o fornecimento de </w:t>
      </w:r>
      <w:proofErr w:type="spellStart"/>
      <w:r>
        <w:rPr>
          <w:rFonts w:ascii="Arial" w:hAnsi="Arial" w:cs="Arial"/>
          <w:sz w:val="23"/>
          <w:szCs w:val="23"/>
        </w:rPr>
        <w:t>plafon</w:t>
      </w:r>
      <w:proofErr w:type="spellEnd"/>
      <w:r>
        <w:rPr>
          <w:rFonts w:ascii="Arial" w:hAnsi="Arial" w:cs="Arial"/>
          <w:sz w:val="23"/>
          <w:szCs w:val="23"/>
        </w:rPr>
        <w:t xml:space="preserve">, para acabamento de ponto de luz, com soquete E-27 integrado para lâmpada fluorescente compacta, em plástico, ou PVC, disponível nas cores branco e preto, conforme o fabricante; referência: </w:t>
      </w:r>
      <w:proofErr w:type="spellStart"/>
      <w:r>
        <w:rPr>
          <w:rFonts w:ascii="Arial" w:hAnsi="Arial" w:cs="Arial"/>
          <w:sz w:val="23"/>
          <w:szCs w:val="23"/>
        </w:rPr>
        <w:t>Plafon</w:t>
      </w:r>
      <w:proofErr w:type="spellEnd"/>
      <w:r>
        <w:rPr>
          <w:rFonts w:ascii="Arial" w:hAnsi="Arial" w:cs="Arial"/>
          <w:sz w:val="23"/>
          <w:szCs w:val="23"/>
        </w:rPr>
        <w:t xml:space="preserve"> 114 / 117 fabricação </w:t>
      </w:r>
      <w:proofErr w:type="spellStart"/>
      <w:r>
        <w:rPr>
          <w:rFonts w:ascii="Arial" w:hAnsi="Arial" w:cs="Arial"/>
          <w:sz w:val="23"/>
          <w:szCs w:val="23"/>
        </w:rPr>
        <w:t>Perlex</w:t>
      </w:r>
      <w:proofErr w:type="spellEnd"/>
      <w:r>
        <w:rPr>
          <w:rFonts w:ascii="Arial" w:hAnsi="Arial" w:cs="Arial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sz w:val="23"/>
          <w:szCs w:val="23"/>
        </w:rPr>
        <w:t>Plafonier</w:t>
      </w:r>
      <w:proofErr w:type="spellEnd"/>
      <w:r>
        <w:rPr>
          <w:rFonts w:ascii="Arial" w:hAnsi="Arial" w:cs="Arial"/>
          <w:sz w:val="23"/>
          <w:szCs w:val="23"/>
        </w:rPr>
        <w:t xml:space="preserve"> Decorativo PVC fabricação </w:t>
      </w:r>
      <w:proofErr w:type="spellStart"/>
      <w:r>
        <w:rPr>
          <w:rFonts w:ascii="Arial" w:hAnsi="Arial" w:cs="Arial"/>
          <w:sz w:val="23"/>
          <w:szCs w:val="23"/>
        </w:rPr>
        <w:t>Sadokin</w:t>
      </w:r>
      <w:proofErr w:type="spellEnd"/>
      <w:r>
        <w:rPr>
          <w:rFonts w:ascii="Arial" w:hAnsi="Arial" w:cs="Arial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sz w:val="23"/>
          <w:szCs w:val="23"/>
        </w:rPr>
        <w:t>Plafon</w:t>
      </w:r>
      <w:proofErr w:type="spellEnd"/>
      <w:r>
        <w:rPr>
          <w:rFonts w:ascii="Arial" w:hAnsi="Arial" w:cs="Arial"/>
          <w:sz w:val="23"/>
          <w:szCs w:val="23"/>
        </w:rPr>
        <w:t xml:space="preserve"> com Soquete fabricação </w:t>
      </w:r>
      <w:proofErr w:type="spellStart"/>
      <w:r>
        <w:rPr>
          <w:rFonts w:ascii="Arial" w:hAnsi="Arial" w:cs="Arial"/>
          <w:sz w:val="23"/>
          <w:szCs w:val="23"/>
        </w:rPr>
        <w:t>Taschibra</w:t>
      </w:r>
      <w:proofErr w:type="spellEnd"/>
      <w:r>
        <w:rPr>
          <w:rFonts w:ascii="Arial" w:hAnsi="Arial" w:cs="Arial"/>
          <w:sz w:val="23"/>
          <w:szCs w:val="23"/>
        </w:rPr>
        <w:t xml:space="preserve">, PF </w:t>
      </w:r>
      <w:r>
        <w:rPr>
          <w:rFonts w:ascii="Arial" w:hAnsi="Arial" w:cs="Arial"/>
          <w:sz w:val="23"/>
          <w:szCs w:val="23"/>
        </w:rPr>
        <w:lastRenderedPageBreak/>
        <w:t xml:space="preserve">1/2 fabricação Wetzel ou equivalente; remunera também materiais acessórios e a mão-de-obra necessária para a instalação do </w:t>
      </w:r>
      <w:proofErr w:type="spellStart"/>
      <w:r>
        <w:rPr>
          <w:rFonts w:ascii="Arial" w:hAnsi="Arial" w:cs="Arial"/>
          <w:sz w:val="23"/>
          <w:szCs w:val="23"/>
        </w:rPr>
        <w:t>plafon</w:t>
      </w:r>
      <w:proofErr w:type="spellEnd"/>
      <w:r>
        <w:rPr>
          <w:rFonts w:ascii="Arial" w:hAnsi="Arial" w:cs="Arial"/>
          <w:sz w:val="23"/>
          <w:szCs w:val="23"/>
        </w:rPr>
        <w:t xml:space="preserve"> em teto ou parede; não remunera o fornecimento da lâmpada.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8.7 Lâmpada fluorescente compacta eletrônica "3U", base E27 de 20 W - 110 ou 220 V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lâmpada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lâmpada fluorescente compacta eletrônica com reator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integrado de 20 W, para tensões de 110 ou 220 V, modelo triplo U com base E27; referência comercial SKU FK da </w:t>
      </w:r>
      <w:proofErr w:type="spellStart"/>
      <w:r>
        <w:rPr>
          <w:rFonts w:ascii="Arial" w:hAnsi="Arial" w:cs="Arial"/>
          <w:sz w:val="23"/>
          <w:szCs w:val="23"/>
        </w:rPr>
        <w:t>Taschibra</w:t>
      </w:r>
      <w:proofErr w:type="spellEnd"/>
      <w:r>
        <w:rPr>
          <w:rFonts w:ascii="Arial" w:hAnsi="Arial" w:cs="Arial"/>
          <w:sz w:val="23"/>
          <w:szCs w:val="23"/>
        </w:rPr>
        <w:t xml:space="preserve">, 04030 da </w:t>
      </w:r>
      <w:proofErr w:type="spellStart"/>
      <w:r>
        <w:rPr>
          <w:rFonts w:ascii="Arial" w:hAnsi="Arial" w:cs="Arial"/>
          <w:sz w:val="23"/>
          <w:szCs w:val="23"/>
        </w:rPr>
        <w:t>Ourolux</w:t>
      </w:r>
      <w:proofErr w:type="spellEnd"/>
      <w:r>
        <w:rPr>
          <w:rFonts w:ascii="Arial" w:hAnsi="Arial" w:cs="Arial"/>
          <w:sz w:val="23"/>
          <w:szCs w:val="23"/>
        </w:rPr>
        <w:t>, Elgin ou equivalente. Remunera também o fornecimento da mão de obra necessária para a instalação da lâmpada.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8.8 Interruptor com 1 teclas simples e placa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conjunto de interruptor instalado (</w:t>
      </w:r>
      <w:proofErr w:type="spellStart"/>
      <w:r>
        <w:rPr>
          <w:rFonts w:ascii="Arial" w:hAnsi="Arial" w:cs="Arial"/>
          <w:sz w:val="23"/>
          <w:szCs w:val="23"/>
        </w:rPr>
        <w:t>cj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e instalação de interruptor de embutir simples, com uma tecla fosforescentes, com contatos de prata, a prova de faísca, de funcionamento silencioso; remunera também o espelho correspondente.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8.9 Tomada 2P+T de 10 A - 250 V, completa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conjunto de tomada instalada (</w:t>
      </w:r>
      <w:proofErr w:type="spellStart"/>
      <w:r>
        <w:rPr>
          <w:rFonts w:ascii="Arial" w:hAnsi="Arial" w:cs="Arial"/>
          <w:sz w:val="23"/>
          <w:szCs w:val="23"/>
        </w:rPr>
        <w:t>cj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item remunera o fornecimento e instalação de tomada de 10 A - 250V, 2P + T, com placa, haste, contatos de prata e componentes de função elétrica em liga de cobre. Referência comercial: 054343 da </w:t>
      </w:r>
      <w:proofErr w:type="spellStart"/>
      <w:r>
        <w:rPr>
          <w:rFonts w:ascii="Arial" w:hAnsi="Arial" w:cs="Arial"/>
          <w:sz w:val="23"/>
          <w:szCs w:val="23"/>
        </w:rPr>
        <w:t>Pial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Legrand</w:t>
      </w:r>
      <w:proofErr w:type="spellEnd"/>
      <w:r>
        <w:rPr>
          <w:rFonts w:ascii="Arial" w:hAnsi="Arial" w:cs="Arial"/>
          <w:sz w:val="23"/>
          <w:szCs w:val="23"/>
        </w:rPr>
        <w:t xml:space="preserve"> ou equivalente. Norma técnica: NBR 14136.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9 ESQUADRIAS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9.1 Porta de entrada de abrir em alumínio com vidro, linha comercial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pela área da porta instalada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da porta e batentes, sob medida, com uma ou duas folhas, em alumínio anodizado L25, linha comercial, com divisão horizontal vidro e veneziana; inclusive ferragem, cimento, areia, acessórios e a mão de obra necessária para a instalação completa do caixilho.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9.2 Caixilho em alumínio basculante com vidro, linha comercial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área de caixilho instalado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do caixilho basculante completo, linha comercial, em perfis de alumínio anodizado natural, com vidro; cimento; areia; acessórios e a mão de obra necessária para a instalação completa do caixilho.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bCs/>
          <w:sz w:val="23"/>
          <w:szCs w:val="23"/>
        </w:rPr>
        <w:t>9.3 Grade de proteção para caixilhos</w:t>
      </w:r>
    </w:p>
    <w:p w:rsidR="00BD72BC" w:rsidRDefault="00753F68">
      <w:pPr>
        <w:suppressAutoHyphens w:val="0"/>
        <w:jc w:val="both"/>
        <w:rPr>
          <w:rFonts w:ascii="Arial" w:hAnsi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pela área da grade instalada (m²).</w:t>
      </w:r>
    </w:p>
    <w:p w:rsidR="00BD72BC" w:rsidRDefault="00753F68">
      <w:pPr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  <w:t xml:space="preserve">O item remunera o fornecimento de grade de proteção, para caixilhos, constituída por: grade confeccionada com barras chatas de 1 1/4 x 3/16, dispostas horizontalmente, verticalmente e no requadro externo da peça, em aço SAE 1010 / 1020; </w:t>
      </w:r>
      <w:proofErr w:type="spellStart"/>
      <w:r>
        <w:rPr>
          <w:rFonts w:ascii="Arial" w:hAnsi="Arial"/>
          <w:sz w:val="23"/>
          <w:szCs w:val="23"/>
        </w:rPr>
        <w:t>grapas</w:t>
      </w:r>
      <w:proofErr w:type="spellEnd"/>
      <w:r>
        <w:rPr>
          <w:rFonts w:ascii="Arial" w:hAnsi="Arial"/>
          <w:sz w:val="23"/>
          <w:szCs w:val="23"/>
        </w:rPr>
        <w:t xml:space="preserve"> em chapa de aço, ou chumbador de expansão, tipo </w:t>
      </w:r>
      <w:proofErr w:type="spellStart"/>
      <w:r>
        <w:rPr>
          <w:rFonts w:ascii="Arial" w:hAnsi="Arial"/>
          <w:sz w:val="23"/>
          <w:szCs w:val="23"/>
        </w:rPr>
        <w:t>parabolt</w:t>
      </w:r>
      <w:proofErr w:type="spellEnd"/>
      <w:r>
        <w:rPr>
          <w:rFonts w:ascii="Arial" w:hAnsi="Arial"/>
          <w:sz w:val="23"/>
          <w:szCs w:val="23"/>
        </w:rPr>
        <w:t xml:space="preserve">, para a fixação do conjunto; materiais acessórios e a mão de obra necessária para a instalação e fixação da grade, por meio de </w:t>
      </w:r>
      <w:proofErr w:type="spellStart"/>
      <w:r>
        <w:rPr>
          <w:rFonts w:ascii="Arial" w:hAnsi="Arial"/>
          <w:sz w:val="23"/>
          <w:szCs w:val="23"/>
        </w:rPr>
        <w:t>grapas</w:t>
      </w:r>
      <w:proofErr w:type="spellEnd"/>
      <w:r>
        <w:rPr>
          <w:rFonts w:ascii="Arial" w:hAnsi="Arial"/>
          <w:sz w:val="23"/>
          <w:szCs w:val="23"/>
        </w:rPr>
        <w:t xml:space="preserve">, ou chumbadores nas paredes de blocos estruturais, ou de concreto, ou vigas, ou pilares, etc.; </w:t>
      </w:r>
      <w:r>
        <w:rPr>
          <w:rFonts w:ascii="Arial" w:hAnsi="Arial"/>
          <w:sz w:val="23"/>
          <w:szCs w:val="23"/>
        </w:rPr>
        <w:lastRenderedPageBreak/>
        <w:t>remunera também o fornecimento de solda nas porcas com os parafusos, após a fixação. Não remunera arremates de acabamento.</w:t>
      </w:r>
    </w:p>
    <w:p w:rsidR="00BD72BC" w:rsidRDefault="00BD72BC">
      <w:pPr>
        <w:suppressAutoHyphens w:val="0"/>
        <w:jc w:val="both"/>
        <w:rPr>
          <w:rFonts w:cs="Arial"/>
          <w:b/>
          <w:bCs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bCs/>
          <w:sz w:val="23"/>
          <w:szCs w:val="23"/>
        </w:rPr>
        <w:t>9.4 Peitoril e/ou soleira em granito, espessura de 2 cm e largura até 20 cm, acabamento polido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comprimento de soleira e/ou peitoril revestidos com granito (m).</w:t>
      </w:r>
    </w:p>
    <w:p w:rsidR="00BD72BC" w:rsidRDefault="00753F68">
      <w:pPr>
        <w:suppressAutoHyphens w:val="0"/>
        <w:jc w:val="both"/>
      </w:pPr>
      <w:r>
        <w:rPr>
          <w:rFonts w:ascii="Arial" w:hAnsi="Arial" w:cs="Arial"/>
          <w:sz w:val="23"/>
          <w:szCs w:val="23"/>
        </w:rPr>
        <w:t>O item remunera o fornecimento de materiais e a mão de obra necessária para execução do revestimento de peitoril e/ou soleira com granito na espessura de 2 cm e largura até 20 cm; assentamento com argamassa colante industrializada; acabamento polido, nas cores: cinza Andorinha, cinza Corumbá, Santa Cecília, verde Ubatuba ou branco Dallas. Não remunera o preparo prévio da superfície</w:t>
      </w:r>
      <w:r>
        <w:rPr>
          <w:rFonts w:ascii="ArialMT" w:hAnsi="ArialMT" w:cs="ArialMT"/>
          <w:sz w:val="23"/>
          <w:szCs w:val="23"/>
        </w:rPr>
        <w:t>.</w:t>
      </w: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9.5 Porta/portão de correr em tela ondulada de aço galvanizado, sob medida</w:t>
      </w:r>
    </w:p>
    <w:p w:rsidR="00BD72BC" w:rsidRDefault="00753F68">
      <w:pPr>
        <w:suppressAutoHyphens w:val="0"/>
        <w:jc w:val="both"/>
      </w:pPr>
      <w:r>
        <w:rPr>
          <w:rFonts w:ascii="Arial" w:hAnsi="Arial" w:cs="Arial"/>
          <w:sz w:val="23"/>
          <w:szCs w:val="23"/>
        </w:rPr>
        <w:t>Será medido por área de porta e / ou portão instalado, desconsiderando-se o acréscimo adicional, quando houver, dos trilhos para a posição aberta (m²).</w:t>
      </w:r>
    </w:p>
    <w:p w:rsidR="00BD72BC" w:rsidRDefault="00753F68">
      <w:pPr>
        <w:suppressAutoHyphens w:val="0"/>
        <w:jc w:val="both"/>
      </w:pPr>
      <w:r>
        <w:rPr>
          <w:rFonts w:ascii="Arial" w:hAnsi="Arial" w:cs="Arial"/>
          <w:sz w:val="23"/>
          <w:szCs w:val="23"/>
        </w:rPr>
        <w:t xml:space="preserve">O item remunera o fornecimento e instalação de porta e / ou portão deslizante, com uma ou duas folhas, constituído por: estrutura tubular em aço carbono SAE 1008 / 1010, com dimensões de 100 x 40 mm; duas roldanas superiores e duas inferiores em aço blindadas com rolamento de 5; requadro em cantoneira de aço carbono SAE 1010 / 1020, bitola 1 x 1/8 e acabamento em barra chata de aço carbono SAE 1008 / 1012, bitola 3/4 x 1/8; fechamento em tela com malha ondulada artística de 1 (25 x 25 mm) fio BWG 12 (2,77 mm), fabricada em fio de aço doce com tensão média de ruptura de 40 a 60 kg / mm² de acordo com a NBR 5589, galvanizado por imersão em banho de zinco antes de tecer a malha, com uma quantidade mínima de zinco da ordem de 70 g / m² NBR 6331, modelo 1225 do tipo </w:t>
      </w:r>
      <w:proofErr w:type="spellStart"/>
      <w:r>
        <w:rPr>
          <w:rFonts w:ascii="Arial" w:hAnsi="Arial" w:cs="Arial"/>
          <w:sz w:val="23"/>
          <w:szCs w:val="23"/>
        </w:rPr>
        <w:t>wave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fence</w:t>
      </w:r>
      <w:proofErr w:type="spellEnd"/>
      <w:r>
        <w:rPr>
          <w:rFonts w:ascii="Arial" w:hAnsi="Arial" w:cs="Arial"/>
          <w:sz w:val="23"/>
          <w:szCs w:val="23"/>
        </w:rPr>
        <w:t xml:space="preserve">, da Universal, </w:t>
      </w:r>
      <w:proofErr w:type="spellStart"/>
      <w:r>
        <w:rPr>
          <w:rFonts w:ascii="Arial" w:hAnsi="Arial" w:cs="Arial"/>
          <w:sz w:val="23"/>
          <w:szCs w:val="23"/>
        </w:rPr>
        <w:t>Icotela</w:t>
      </w:r>
      <w:proofErr w:type="spellEnd"/>
      <w:r>
        <w:rPr>
          <w:rFonts w:ascii="Arial" w:hAnsi="Arial" w:cs="Arial"/>
          <w:sz w:val="23"/>
          <w:szCs w:val="23"/>
        </w:rPr>
        <w:t xml:space="preserve"> ou da </w:t>
      </w:r>
      <w:proofErr w:type="spellStart"/>
      <w:r>
        <w:rPr>
          <w:rFonts w:ascii="Arial" w:hAnsi="Arial" w:cs="Arial"/>
          <w:sz w:val="23"/>
          <w:szCs w:val="23"/>
        </w:rPr>
        <w:t>Furametal</w:t>
      </w:r>
      <w:proofErr w:type="spellEnd"/>
      <w:r>
        <w:rPr>
          <w:rFonts w:ascii="Arial" w:hAnsi="Arial" w:cs="Arial"/>
          <w:sz w:val="23"/>
          <w:szCs w:val="23"/>
        </w:rPr>
        <w:t>, ou equivalente;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batentes em chapa de 3 / 16, porta-cadeado, ferrolhos, puxadores em barra redonda de aço carbono SAE 1008 / 1012, bitola 1/2; todo o material metálico deverá ser fornecido com tratamento superficial antioxidante à base de fundo de óxido.</w:t>
      </w: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10 PISO INTERNO</w:t>
      </w:r>
    </w:p>
    <w:p w:rsidR="00BD72BC" w:rsidRDefault="00BD72BC">
      <w:pPr>
        <w:suppressAutoHyphens w:val="0"/>
        <w:jc w:val="both"/>
        <w:rPr>
          <w:rFonts w:ascii="Arial" w:hAnsi="Arial" w:cs="Arial"/>
          <w:color w:val="00000A"/>
          <w:sz w:val="23"/>
          <w:szCs w:val="23"/>
        </w:rPr>
      </w:pPr>
    </w:p>
    <w:p w:rsidR="00BD72BC" w:rsidRDefault="00753F68">
      <w:pPr>
        <w:jc w:val="both"/>
      </w:pPr>
      <w:r>
        <w:rPr>
          <w:rFonts w:ascii="Arial" w:hAnsi="Arial" w:cs="Arial"/>
          <w:b/>
          <w:color w:val="00000A"/>
          <w:sz w:val="23"/>
          <w:szCs w:val="23"/>
        </w:rPr>
        <w:t>10.1 Lastro de pedra britada</w:t>
      </w:r>
    </w:p>
    <w:p w:rsidR="00BD72BC" w:rsidRDefault="00753F68">
      <w:pPr>
        <w:suppressAutoHyphens w:val="0"/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 xml:space="preserve">Será medido pelo volume acabado, na espessura aproximada de 5 cm (m³): Para escavação manual, será medido pela área do fundo de vala; </w:t>
      </w:r>
      <w:proofErr w:type="gramStart"/>
      <w:r>
        <w:rPr>
          <w:rFonts w:ascii="Arial" w:hAnsi="Arial" w:cs="Arial"/>
          <w:color w:val="00000A"/>
          <w:sz w:val="23"/>
          <w:szCs w:val="23"/>
        </w:rPr>
        <w:t>Para</w:t>
      </w:r>
      <w:proofErr w:type="gramEnd"/>
      <w:r>
        <w:rPr>
          <w:rFonts w:ascii="Arial" w:hAnsi="Arial" w:cs="Arial"/>
          <w:color w:val="00000A"/>
          <w:sz w:val="23"/>
          <w:szCs w:val="23"/>
        </w:rPr>
        <w:t xml:space="preserve"> escavação mecanizada, será medido pelo limite. O item remunera o fornecimento de pedra britada em números médios e a mão de obra necessária para o 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apiloamento</w:t>
      </w:r>
      <w:proofErr w:type="spellEnd"/>
      <w:r>
        <w:rPr>
          <w:rFonts w:ascii="Arial" w:hAnsi="Arial" w:cs="Arial"/>
          <w:color w:val="00000A"/>
          <w:sz w:val="23"/>
          <w:szCs w:val="23"/>
        </w:rPr>
        <w:t xml:space="preserve"> do terreno e execução do lastro.</w:t>
      </w: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10.2 Concreto usinado, </w:t>
      </w:r>
      <w:proofErr w:type="spellStart"/>
      <w:r>
        <w:rPr>
          <w:rFonts w:ascii="Arial" w:hAnsi="Arial" w:cs="Arial"/>
          <w:b/>
          <w:bCs/>
          <w:color w:val="00000A"/>
          <w:sz w:val="23"/>
          <w:szCs w:val="23"/>
        </w:rPr>
        <w:t>fck</w:t>
      </w:r>
      <w:proofErr w:type="spellEnd"/>
      <w:r>
        <w:rPr>
          <w:rFonts w:ascii="Arial" w:hAnsi="Arial" w:cs="Arial"/>
          <w:b/>
          <w:bCs/>
          <w:color w:val="00000A"/>
          <w:sz w:val="23"/>
          <w:szCs w:val="23"/>
        </w:rPr>
        <w:t xml:space="preserve"> = 20 MPa</w:t>
      </w:r>
    </w:p>
    <w:p w:rsidR="00BD72BC" w:rsidRDefault="00753F68">
      <w:pPr>
        <w:jc w:val="both"/>
        <w:rPr>
          <w:rFonts w:ascii="Arial" w:hAnsi="Arial" w:cs="Arial"/>
          <w:color w:val="00000A"/>
          <w:sz w:val="23"/>
          <w:szCs w:val="23"/>
        </w:rPr>
      </w:pPr>
      <w:r>
        <w:rPr>
          <w:rFonts w:ascii="Arial" w:hAnsi="Arial" w:cs="Arial"/>
          <w:color w:val="00000A"/>
          <w:sz w:val="23"/>
          <w:szCs w:val="23"/>
        </w:rPr>
        <w:t>Será medido pelo volume calculado no projeto de formas, sendo que o volume da interseção dos diversos elementos estruturais deve ser computado uma só vez (m³). O item remunera o fornecimento, posto obra, de concreto usinado, resistência mínima à compressão de 20 MPa, plasticidade (</w:t>
      </w:r>
      <w:proofErr w:type="spellStart"/>
      <w:r>
        <w:rPr>
          <w:rFonts w:ascii="Arial" w:hAnsi="Arial" w:cs="Arial"/>
          <w:color w:val="00000A"/>
          <w:sz w:val="23"/>
          <w:szCs w:val="23"/>
        </w:rPr>
        <w:t>slump</w:t>
      </w:r>
      <w:proofErr w:type="spellEnd"/>
      <w:r>
        <w:rPr>
          <w:rFonts w:ascii="Arial" w:hAnsi="Arial" w:cs="Arial"/>
          <w:color w:val="00000A"/>
          <w:sz w:val="23"/>
          <w:szCs w:val="23"/>
        </w:rPr>
        <w:t>) de 5 + 1 cm, preparado com britas 1 e 2.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bCs/>
          <w:color w:val="00000A"/>
          <w:sz w:val="23"/>
          <w:szCs w:val="23"/>
        </w:rPr>
      </w:pPr>
      <w:r>
        <w:rPr>
          <w:rFonts w:ascii="Arial" w:hAnsi="Arial" w:cs="Arial"/>
          <w:b/>
          <w:bCs/>
          <w:color w:val="00000A"/>
          <w:sz w:val="23"/>
          <w:szCs w:val="23"/>
        </w:rPr>
        <w:t>10.3 Lançamento e adensamento de concreto ou massa em fundação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volume calculado no projeto de formas; sendo que o volume da interseção dos diversos elementos estruturais deve ser computado uma só vez (m³</w:t>
      </w:r>
      <w:proofErr w:type="gramStart"/>
      <w:r>
        <w:rPr>
          <w:rFonts w:ascii="Arial" w:hAnsi="Arial" w:cs="Arial"/>
          <w:sz w:val="23"/>
          <w:szCs w:val="23"/>
        </w:rPr>
        <w:t>).O</w:t>
      </w:r>
      <w:proofErr w:type="gramEnd"/>
      <w:r>
        <w:rPr>
          <w:rFonts w:ascii="Arial" w:hAnsi="Arial" w:cs="Arial"/>
          <w:sz w:val="23"/>
          <w:szCs w:val="23"/>
        </w:rPr>
        <w:t xml:space="preserve"> item remunera o </w:t>
      </w:r>
      <w:r>
        <w:rPr>
          <w:rFonts w:ascii="Arial" w:hAnsi="Arial" w:cs="Arial"/>
          <w:sz w:val="23"/>
          <w:szCs w:val="23"/>
        </w:rPr>
        <w:lastRenderedPageBreak/>
        <w:t>fornecimento de equipamentos e mão de obra necessários para o transporte interno à obra, lançamento e adensamento de concreto ou massa em fundação.</w:t>
      </w: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10.4 Argamassa de regularização e/ou proteção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volume de argamassa executada, nas dimensões especificadas em projeto (m³).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cimento, areia, equipamentos e a mão de obra necessária para o preparo, lançamento e regularização da argamassa</w:t>
      </w:r>
    </w:p>
    <w:p w:rsidR="00BD72BC" w:rsidRDefault="00BD72BC">
      <w:pPr>
        <w:suppressAutoHyphens w:val="0"/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bCs/>
          <w:sz w:val="23"/>
          <w:szCs w:val="23"/>
        </w:rPr>
        <w:t xml:space="preserve">10.5 Placa cerâmica esmaltada rústica PEI-5 para área interna com saída para o exterior, grupo de absorção </w:t>
      </w:r>
      <w:proofErr w:type="spellStart"/>
      <w:r>
        <w:rPr>
          <w:rFonts w:ascii="Arial" w:hAnsi="Arial" w:cs="Arial"/>
          <w:b/>
          <w:bCs/>
          <w:sz w:val="23"/>
          <w:szCs w:val="23"/>
        </w:rPr>
        <w:t>BIIb</w:t>
      </w:r>
      <w:proofErr w:type="spellEnd"/>
      <w:r>
        <w:rPr>
          <w:rFonts w:ascii="Arial" w:hAnsi="Arial" w:cs="Arial"/>
          <w:b/>
          <w:bCs/>
          <w:sz w:val="23"/>
          <w:szCs w:val="23"/>
        </w:rPr>
        <w:t>, resistência química B, assentado com argamassa colante industrializada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revestida com placa cerâmica rústica, descontando-se toda e qualquer interferência, acrescentando-se as áreas desenvolvidas por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ou dobras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placa cerâmica esmaltada de primeira qualidade (classe A ou classe extra), tipo rústica, indicada para áreas internas com saída para o exterior, com as seguintes características: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a) Referência comercial: </w:t>
      </w:r>
      <w:proofErr w:type="spellStart"/>
      <w:r>
        <w:rPr>
          <w:rFonts w:ascii="Arial" w:hAnsi="Arial" w:cs="Arial"/>
          <w:sz w:val="23"/>
          <w:szCs w:val="23"/>
        </w:rPr>
        <w:t>Fornigres</w:t>
      </w:r>
      <w:proofErr w:type="spellEnd"/>
      <w:r>
        <w:rPr>
          <w:rFonts w:ascii="Arial" w:hAnsi="Arial" w:cs="Arial"/>
          <w:sz w:val="23"/>
          <w:szCs w:val="23"/>
        </w:rPr>
        <w:t>, Porto Ferreira ou equivalente;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b) Absorção de água: 6% &lt; </w:t>
      </w:r>
      <w:proofErr w:type="spellStart"/>
      <w:r>
        <w:rPr>
          <w:rFonts w:ascii="Arial" w:hAnsi="Arial" w:cs="Arial"/>
          <w:sz w:val="23"/>
          <w:szCs w:val="23"/>
        </w:rPr>
        <w:t>Abs</w:t>
      </w:r>
      <w:proofErr w:type="spellEnd"/>
      <w:r>
        <w:rPr>
          <w:rFonts w:ascii="Arial" w:hAnsi="Arial" w:cs="Arial"/>
          <w:sz w:val="23"/>
          <w:szCs w:val="23"/>
        </w:rPr>
        <w:t xml:space="preserve"> &lt; 10%, grupo </w:t>
      </w:r>
      <w:proofErr w:type="spellStart"/>
      <w:r>
        <w:rPr>
          <w:rFonts w:ascii="Arial" w:hAnsi="Arial" w:cs="Arial"/>
          <w:sz w:val="23"/>
          <w:szCs w:val="23"/>
        </w:rPr>
        <w:t>BIIb</w:t>
      </w:r>
      <w:proofErr w:type="spellEnd"/>
      <w:r>
        <w:rPr>
          <w:rFonts w:ascii="Arial" w:hAnsi="Arial" w:cs="Arial"/>
          <w:sz w:val="23"/>
          <w:szCs w:val="23"/>
        </w:rPr>
        <w:t xml:space="preserve"> classificação </w:t>
      </w:r>
      <w:proofErr w:type="spellStart"/>
      <w:r>
        <w:rPr>
          <w:rFonts w:ascii="Arial" w:hAnsi="Arial" w:cs="Arial"/>
          <w:sz w:val="23"/>
          <w:szCs w:val="23"/>
        </w:rPr>
        <w:t>Semiporoso</w:t>
      </w:r>
      <w:proofErr w:type="spellEnd"/>
      <w:r>
        <w:rPr>
          <w:rFonts w:ascii="Arial" w:hAnsi="Arial" w:cs="Arial"/>
          <w:sz w:val="23"/>
          <w:szCs w:val="23"/>
        </w:rPr>
        <w:t xml:space="preserve"> (alta absorção, resistência mecânica baixa);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c) Resistência à abrasão superficial: classe de abrasão 5 (PEI-5);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d) Resistência ao </w:t>
      </w:r>
      <w:proofErr w:type="spellStart"/>
      <w:r>
        <w:rPr>
          <w:rFonts w:ascii="Arial" w:hAnsi="Arial" w:cs="Arial"/>
          <w:sz w:val="23"/>
          <w:szCs w:val="23"/>
        </w:rPr>
        <w:t>manchamento</w:t>
      </w:r>
      <w:proofErr w:type="spellEnd"/>
      <w:r>
        <w:rPr>
          <w:rFonts w:ascii="Arial" w:hAnsi="Arial" w:cs="Arial"/>
          <w:sz w:val="23"/>
          <w:szCs w:val="23"/>
        </w:rPr>
        <w:t xml:space="preserve">: classe de </w:t>
      </w:r>
      <w:proofErr w:type="spellStart"/>
      <w:r>
        <w:rPr>
          <w:rFonts w:ascii="Arial" w:hAnsi="Arial" w:cs="Arial"/>
          <w:sz w:val="23"/>
          <w:szCs w:val="23"/>
        </w:rPr>
        <w:t>limpabilidade</w:t>
      </w:r>
      <w:proofErr w:type="spellEnd"/>
      <w:r>
        <w:rPr>
          <w:rFonts w:ascii="Arial" w:hAnsi="Arial" w:cs="Arial"/>
          <w:sz w:val="23"/>
          <w:szCs w:val="23"/>
        </w:rPr>
        <w:t xml:space="preserve"> 5 (máxima facilidade de remoção de mancha);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e) Resistência química mínima: classe B (média resistência química a produtos domésticos e de piscinas);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f) Carga de ruptura &gt; 800 N;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g) Resistente a </w:t>
      </w:r>
      <w:proofErr w:type="spellStart"/>
      <w:r>
        <w:rPr>
          <w:rFonts w:ascii="Arial" w:hAnsi="Arial" w:cs="Arial"/>
          <w:sz w:val="23"/>
          <w:szCs w:val="23"/>
        </w:rPr>
        <w:t>gretagem</w:t>
      </w:r>
      <w:proofErr w:type="spellEnd"/>
      <w:r>
        <w:rPr>
          <w:rFonts w:ascii="Arial" w:hAnsi="Arial" w:cs="Arial"/>
          <w:sz w:val="23"/>
          <w:szCs w:val="23"/>
        </w:rPr>
        <w:t>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h) Resistente ao choque térmico;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Remunera também o fornecimento de argamassa colante industrializada tipo AC-II, a mão de obra necessária para a execução dos serviços de limpeza e preparo da superfície de assentamento, preparo e aplicação da argamassa colante industrializada, e o assentamento das peças conforme exigências das normas e recomendações dos fabricantes. Não remunera os serviços de regularização da superfície e de rejuntamento. Normas técnicas: NBR 9817, NBR 13816, NBR 13817, NBR 13818 e NBR 14081-1.</w:t>
      </w:r>
    </w:p>
    <w:p w:rsidR="00BD72BC" w:rsidRDefault="00BD72BC">
      <w:pPr>
        <w:suppressAutoHyphens w:val="0"/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bCs/>
          <w:sz w:val="23"/>
          <w:szCs w:val="23"/>
        </w:rPr>
        <w:t>10.6 Peitoril e/ou soleira em granito, espessura de 2 cm e largura até 20 cm, acabamento polido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pelo comprimento de soleira e/ou peitoril revestidos com granito (m).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materiais e a mão de obra necessária para execução do revestimento de peitoril e/ou soleira com granito na espessura de 2 cm e largura até 20 cm; assentamento com argamassa colante industrializada; acabamento polido, nas cores: cinza Andorinha, cinza Corumbá, Santa Cecília, verde Ubatuba ou branco Dallas. Não remunera o preparo prévio da superfície.</w:t>
      </w:r>
    </w:p>
    <w:p w:rsidR="00BD72BC" w:rsidRDefault="00BD72BC">
      <w:pPr>
        <w:suppressAutoHyphens w:val="0"/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10.7 Rejuntamento em placas cerâmicas com argamassa industrializada para rejunte, juntas acima de 3 até 5 mm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pela área de piso rejuntado, descontando-se toda e qualquer interferência,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 xml:space="preserve">acrescentando-se as áreas desenvolvidas por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ou dobras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argamassa industrializada flexível para rejunte de juntas, de cores diversas, para áreas internas e externas, a mão de obra necessária para os serviços de preparo da argamassa de rejunte, aplicação da argamassa nas juntas, acabamento final com a utilização de esponja macia ou frisador plástico, de acrílico, ou de madeira e a limpeza das juntas, conforme recomendações dos fabricantes. Norma técnica: NBR 9817.</w:t>
      </w: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11 REVESTIMENTO INTERNO</w:t>
      </w: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11.1 Chapisco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revestida com chapisco,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desenvolvidas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cimento, areia e a mão-de-obra necessária para a execução do chapisco.</w:t>
      </w:r>
    </w:p>
    <w:p w:rsidR="00BD72BC" w:rsidRDefault="00BD72BC">
      <w:pPr>
        <w:suppressAutoHyphens w:val="0"/>
        <w:jc w:val="both"/>
        <w:rPr>
          <w:rFonts w:ascii="Arial" w:eastAsia="Times New Roman" w:hAnsi="Arial" w:cs="Arial"/>
          <w:b/>
          <w:bCs/>
          <w:color w:val="000000"/>
          <w:sz w:val="23"/>
          <w:szCs w:val="23"/>
          <w:lang w:eastAsia="pt-BR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11.2 Emboço comum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revestida com emboço,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desenvolvidas (m²).</w:t>
      </w:r>
    </w:p>
    <w:p w:rsidR="00BD72BC" w:rsidRDefault="00753F68">
      <w:pPr>
        <w:suppressAutoHyphens w:val="0"/>
        <w:jc w:val="both"/>
      </w:pPr>
      <w:r>
        <w:rPr>
          <w:rFonts w:ascii="Arial" w:hAnsi="Arial" w:cs="Arial"/>
          <w:sz w:val="23"/>
          <w:szCs w:val="23"/>
        </w:rPr>
        <w:t>O item remunera o fornecimento de cal hidratada, areia, cimento e a mão-de-obra necessária para a execução do emboço comum sarrafeado</w:t>
      </w:r>
      <w:r>
        <w:rPr>
          <w:rFonts w:ascii="ArialMT" w:hAnsi="ArialMT" w:cs="ArialMT"/>
          <w:sz w:val="23"/>
          <w:szCs w:val="23"/>
        </w:rPr>
        <w:t>.</w:t>
      </w:r>
    </w:p>
    <w:p w:rsidR="00BD72BC" w:rsidRDefault="00BD72BC">
      <w:pPr>
        <w:suppressAutoHyphens w:val="0"/>
        <w:jc w:val="both"/>
        <w:rPr>
          <w:rFonts w:ascii="Arial" w:hAnsi="Arial" w:cs="Arial"/>
          <w:b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11.3 Emboço desempenado com espuma de poliéster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revestida com emboço,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desenvolvidas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cal hidratada, areia, cimento e a mão-de-obra necessária para a execução do emboço desempenado com espuma de poliéster.</w:t>
      </w: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BD72BC">
      <w:pPr>
        <w:suppressAutoHyphens w:val="0"/>
        <w:jc w:val="both"/>
        <w:rPr>
          <w:rFonts w:ascii="ArialMT" w:hAnsi="ArialMT" w:cs="ArialMT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bCs/>
          <w:sz w:val="23"/>
          <w:szCs w:val="23"/>
        </w:rPr>
        <w:t>11.4 Revestimento em placa cerâmica esmaltada de 20x20 cm, tipo monocolor, assentado e rejuntado com argamassa industrializada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de revestimento com placa cerâmica esmaltada, descontando-se toda e qualquer interferência, acrescentando-se as áreas desenvolvidas por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ou dobras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fornecimento, assentamento e rejuntamento de placa cerâmica esmaltada, de primeira qualidade (classe A ou classe extra), indicada para revestimentos internos/externos de paredes, formato 20x20 cm, estilo monocolor, com as seguintes características: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a) Referência comercial: Pierini, Eliane ou equivalente;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b) Absorção de água: </w:t>
      </w:r>
      <w:proofErr w:type="spellStart"/>
      <w:r>
        <w:rPr>
          <w:rFonts w:ascii="Arial" w:hAnsi="Arial" w:cs="Arial"/>
          <w:sz w:val="23"/>
          <w:szCs w:val="23"/>
        </w:rPr>
        <w:t>Abs</w:t>
      </w:r>
      <w:proofErr w:type="spellEnd"/>
      <w:r>
        <w:rPr>
          <w:rFonts w:ascii="Arial" w:hAnsi="Arial" w:cs="Arial"/>
          <w:sz w:val="23"/>
          <w:szCs w:val="23"/>
        </w:rPr>
        <w:t xml:space="preserve"> &gt; 10%, grupo </w:t>
      </w:r>
      <w:proofErr w:type="spellStart"/>
      <w:r>
        <w:rPr>
          <w:rFonts w:ascii="Arial" w:hAnsi="Arial" w:cs="Arial"/>
          <w:sz w:val="23"/>
          <w:szCs w:val="23"/>
        </w:rPr>
        <w:t>BIIa</w:t>
      </w:r>
      <w:proofErr w:type="spellEnd"/>
      <w:r>
        <w:rPr>
          <w:rFonts w:ascii="Arial" w:hAnsi="Arial" w:cs="Arial"/>
          <w:sz w:val="23"/>
          <w:szCs w:val="23"/>
        </w:rPr>
        <w:t xml:space="preserve"> classificação Porosos (alta absorção, resistência mecânica baixa);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c) Resistência química: mínima classe B (média resistência química a produtos domésticos e de piscinas);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 xml:space="preserve">d) Resistência ao </w:t>
      </w:r>
      <w:proofErr w:type="spellStart"/>
      <w:r>
        <w:rPr>
          <w:rFonts w:ascii="Arial" w:hAnsi="Arial" w:cs="Arial"/>
          <w:sz w:val="23"/>
          <w:szCs w:val="23"/>
        </w:rPr>
        <w:t>manchamento</w:t>
      </w:r>
      <w:proofErr w:type="spellEnd"/>
      <w:r>
        <w:rPr>
          <w:rFonts w:ascii="Arial" w:hAnsi="Arial" w:cs="Arial"/>
          <w:sz w:val="23"/>
          <w:szCs w:val="23"/>
        </w:rPr>
        <w:t xml:space="preserve">: mínima classe de </w:t>
      </w:r>
      <w:proofErr w:type="spellStart"/>
      <w:r>
        <w:rPr>
          <w:rFonts w:ascii="Arial" w:hAnsi="Arial" w:cs="Arial"/>
          <w:sz w:val="23"/>
          <w:szCs w:val="23"/>
        </w:rPr>
        <w:t>limpabilidade</w:t>
      </w:r>
      <w:proofErr w:type="spellEnd"/>
      <w:r>
        <w:rPr>
          <w:rFonts w:ascii="Arial" w:hAnsi="Arial" w:cs="Arial"/>
          <w:sz w:val="23"/>
          <w:szCs w:val="23"/>
        </w:rPr>
        <w:t xml:space="preserve"> 3 (mancha removível com produto de limpeza forte);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e) Resistente ao choque térmico;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f) Antiderrapante: não Remunera também o fornecimento de argamassa colante industrializada tipo AC-I, rejunte flexível em diversas cores e a mão de obra necessária para a execução dos serviços de limpeza e preparo da superfície de assentamento, preparo e aplicação da argamassa colante industrializada, assentamento das peças conforme exigências das normas e recomendações dos fabricantes e rejuntamento das placas com junta média de 3 mm. Não remunera os serviços de regularização da superfície. Normas técnicas: NBR 13816, NBR 13817, NBR 13818 e NBR 14081-1.</w:t>
      </w:r>
    </w:p>
    <w:p w:rsidR="00BD72BC" w:rsidRDefault="00BD72BC">
      <w:pPr>
        <w:suppressAutoHyphens w:val="0"/>
        <w:rPr>
          <w:rFonts w:ascii="Arial" w:hAnsi="Arial" w:cs="Arial"/>
          <w:sz w:val="23"/>
          <w:szCs w:val="23"/>
        </w:rPr>
      </w:pPr>
    </w:p>
    <w:p w:rsidR="00BD72BC" w:rsidRDefault="00BD72BC">
      <w:pPr>
        <w:suppressAutoHyphens w:val="0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12 ACESSIBILIDADE</w:t>
      </w:r>
    </w:p>
    <w:p w:rsidR="00BD72BC" w:rsidRDefault="00BD72BC">
      <w:pPr>
        <w:suppressAutoHyphens w:val="0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12.1 Barra de apoio lateral para lavatório, para pessoas com mobilidade reduzida, em tubo de aço inoxidável de 1.1/4", comprimento 25 a 30 cm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</w:pPr>
      <w:r>
        <w:rPr>
          <w:rFonts w:ascii="Arial" w:hAnsi="Arial" w:cs="Arial"/>
          <w:sz w:val="23"/>
          <w:szCs w:val="23"/>
        </w:rPr>
        <w:t xml:space="preserve">O item remunera o fornecimento de barra de apoio lateral para lavatório, para pessoas com mobilidade reduzida, em tubo de aço inoxidável AISI 304, diâmetro nominal de 1 1/4, comprimento de 25 a 30 cm, com resistência mínima ao esforço em qualquer sentido de 1,5 </w:t>
      </w:r>
      <w:proofErr w:type="spellStart"/>
      <w:r>
        <w:rPr>
          <w:rFonts w:ascii="Arial" w:hAnsi="Arial" w:cs="Arial"/>
          <w:sz w:val="23"/>
          <w:szCs w:val="23"/>
        </w:rPr>
        <w:t>kN</w:t>
      </w:r>
      <w:proofErr w:type="spellEnd"/>
      <w:r>
        <w:rPr>
          <w:rFonts w:ascii="Arial" w:hAnsi="Arial" w:cs="Arial"/>
          <w:sz w:val="23"/>
          <w:szCs w:val="23"/>
        </w:rPr>
        <w:t>; flanges nas extremidades e parafusos para fixação, em aço inoxidável; tubo e flanges com acabamento escovado, ou polido fosco; acessórios e a mão de obra necessária para a instalação completa da barra, atendendo às exigências da norma NBR 9050.</w:t>
      </w:r>
    </w:p>
    <w:p w:rsidR="00BD72BC" w:rsidRDefault="00BD72BC">
      <w:pPr>
        <w:suppressAutoHyphens w:val="0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12.2 Barra de apoio reta, para pessoas com mobilidade reduzida, em tubo de aço</w:t>
      </w:r>
    </w:p>
    <w:p w:rsidR="00BD72BC" w:rsidRDefault="00753F68">
      <w:pPr>
        <w:suppressAutoHyphens w:val="0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inoxidável de 1 1/4´ x 400 mm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</w:pPr>
      <w:r>
        <w:rPr>
          <w:rFonts w:ascii="Arial" w:hAnsi="Arial" w:cs="Arial"/>
          <w:sz w:val="23"/>
          <w:szCs w:val="23"/>
        </w:rPr>
        <w:t xml:space="preserve">O item remunera o fornecimento de barra de apoio tipo reta, para pessoas com mobilidade reduzida, em tubo de aço inoxidável AISI 304, liga 18,8, diâmetro nominal de 1 1/4, com espessura de 1,5 mm, comprimento de 400 mm, com resistência mínima ao esforço, em qualquer sentido, de 1,5 </w:t>
      </w:r>
      <w:proofErr w:type="spellStart"/>
      <w:r>
        <w:rPr>
          <w:rFonts w:ascii="Arial" w:hAnsi="Arial" w:cs="Arial"/>
          <w:sz w:val="23"/>
          <w:szCs w:val="23"/>
        </w:rPr>
        <w:t>kN</w:t>
      </w:r>
      <w:proofErr w:type="spellEnd"/>
      <w:r>
        <w:rPr>
          <w:rFonts w:ascii="Arial" w:hAnsi="Arial" w:cs="Arial"/>
          <w:sz w:val="23"/>
          <w:szCs w:val="23"/>
        </w:rPr>
        <w:t>; flanges nas extremidades e parafusos para fixação, em aço inoxidável; tubo e flanges com acabamento escovado ou polido fosco; acessórios e a mão de obra necessária para a instalação completa da barra atendendo às exigências da norma NBR 9050</w:t>
      </w:r>
      <w:r>
        <w:rPr>
          <w:rFonts w:ascii="ArialMT" w:hAnsi="ArialMT" w:cs="ArialMT"/>
          <w:sz w:val="23"/>
          <w:szCs w:val="23"/>
        </w:rPr>
        <w:t>.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13 REVESTIMENTO EXTERNO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13.1 Chapisco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revestida com chapisco,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desenvolvidas (m²).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cimento, areia e a mão-de-obra necessária para a execução do chapisco.</w:t>
      </w:r>
    </w:p>
    <w:p w:rsidR="00BD72BC" w:rsidRDefault="00BD72BC">
      <w:pPr>
        <w:suppressAutoHyphens w:val="0"/>
        <w:rPr>
          <w:rFonts w:ascii="Arial" w:eastAsia="Times New Roman" w:hAnsi="Arial" w:cs="Arial"/>
          <w:b/>
          <w:bCs/>
          <w:color w:val="000000"/>
          <w:sz w:val="23"/>
          <w:szCs w:val="23"/>
          <w:lang w:eastAsia="pt-BR"/>
        </w:rPr>
      </w:pPr>
    </w:p>
    <w:p w:rsidR="00BD72BC" w:rsidRDefault="00753F68">
      <w:pPr>
        <w:suppressAutoHyphens w:val="0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13.2 Emboço desempenado com espuma de poliéster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 xml:space="preserve">Será medido pela área revestida com emboço,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 desenvolvidas (m²).</w:t>
      </w:r>
    </w:p>
    <w:p w:rsidR="00BD72BC" w:rsidRDefault="00753F68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cal hidratada, areia, cimento e a mão-de-obra necessária para a execução do emboço desempenado com espuma de poliéster.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14 PINTURA INTERNA E EXTERNA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14.1 Tinta acrílica </w:t>
      </w:r>
      <w:proofErr w:type="spellStart"/>
      <w:r>
        <w:rPr>
          <w:rFonts w:ascii="Arial" w:hAnsi="Arial" w:cs="Arial"/>
          <w:b/>
          <w:bCs/>
          <w:sz w:val="23"/>
          <w:szCs w:val="23"/>
        </w:rPr>
        <w:t>antimofo</w:t>
      </w:r>
      <w:proofErr w:type="spellEnd"/>
      <w:r>
        <w:rPr>
          <w:rFonts w:ascii="Arial" w:hAnsi="Arial" w:cs="Arial"/>
          <w:b/>
          <w:bCs/>
          <w:sz w:val="23"/>
          <w:szCs w:val="23"/>
        </w:rPr>
        <w:t xml:space="preserve"> em massa, inclusive preparo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pela área de superfície preparada e pintada, não se descontando vãos de até 2,00 m² e não se considerando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 xml:space="preserve">, filetes ou molduras. Os vãos acima de 2,00 m² deverão ser deduzidos na totalidade e as </w:t>
      </w:r>
      <w:proofErr w:type="spellStart"/>
      <w:r>
        <w:rPr>
          <w:rFonts w:ascii="Arial" w:hAnsi="Arial" w:cs="Arial"/>
          <w:sz w:val="23"/>
          <w:szCs w:val="23"/>
        </w:rPr>
        <w:t>espaletas</w:t>
      </w:r>
      <w:proofErr w:type="spellEnd"/>
      <w:r>
        <w:rPr>
          <w:rFonts w:ascii="Arial" w:hAnsi="Arial" w:cs="Arial"/>
          <w:sz w:val="23"/>
          <w:szCs w:val="23"/>
        </w:rPr>
        <w:t>, filetes ou molduras desenvolvidas (m²).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item remunera o fornecimento de selador de tinta para pintura acrílica, tinta plástica à base de resina acrílica acetinado fosco, aditivada com </w:t>
      </w:r>
      <w:proofErr w:type="spellStart"/>
      <w:r>
        <w:rPr>
          <w:rFonts w:ascii="Arial" w:hAnsi="Arial" w:cs="Arial"/>
          <w:sz w:val="23"/>
          <w:szCs w:val="23"/>
        </w:rPr>
        <w:t>Bacterkill</w:t>
      </w:r>
      <w:proofErr w:type="spellEnd"/>
      <w:r>
        <w:rPr>
          <w:rFonts w:ascii="Arial" w:hAnsi="Arial" w:cs="Arial"/>
          <w:sz w:val="23"/>
          <w:szCs w:val="23"/>
        </w:rPr>
        <w:t xml:space="preserve"> (agente fungicida), solúvel em água, acabamento </w:t>
      </w:r>
      <w:proofErr w:type="spellStart"/>
      <w:r>
        <w:rPr>
          <w:rFonts w:ascii="Arial" w:hAnsi="Arial" w:cs="Arial"/>
          <w:sz w:val="23"/>
          <w:szCs w:val="23"/>
        </w:rPr>
        <w:t>semibrilho</w:t>
      </w:r>
      <w:proofErr w:type="spellEnd"/>
      <w:r>
        <w:rPr>
          <w:rFonts w:ascii="Arial" w:hAnsi="Arial" w:cs="Arial"/>
          <w:sz w:val="23"/>
          <w:szCs w:val="23"/>
        </w:rPr>
        <w:t xml:space="preserve">, específica para prevenção da proliferação de fungos e mofo, com resistência à umidade em ambientes frios ou quentes, tais como saunas, lavanderias, câmaras frias e locais com vapores ou condensação de água; referência comercial </w:t>
      </w:r>
      <w:proofErr w:type="spellStart"/>
      <w:r>
        <w:rPr>
          <w:rFonts w:ascii="Arial" w:hAnsi="Arial" w:cs="Arial"/>
          <w:sz w:val="23"/>
          <w:szCs w:val="23"/>
        </w:rPr>
        <w:t>Metalatex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Antimofo</w:t>
      </w:r>
      <w:proofErr w:type="spellEnd"/>
      <w:r>
        <w:rPr>
          <w:rFonts w:ascii="Arial" w:hAnsi="Arial" w:cs="Arial"/>
          <w:sz w:val="23"/>
          <w:szCs w:val="23"/>
        </w:rPr>
        <w:t xml:space="preserve"> fabricação </w:t>
      </w:r>
      <w:proofErr w:type="spellStart"/>
      <w:r>
        <w:rPr>
          <w:rFonts w:ascii="Arial" w:hAnsi="Arial" w:cs="Arial"/>
          <w:sz w:val="23"/>
          <w:szCs w:val="23"/>
        </w:rPr>
        <w:t>Sherwin</w:t>
      </w:r>
      <w:proofErr w:type="spellEnd"/>
      <w:r>
        <w:rPr>
          <w:rFonts w:ascii="Arial" w:hAnsi="Arial" w:cs="Arial"/>
          <w:sz w:val="23"/>
          <w:szCs w:val="23"/>
        </w:rPr>
        <w:t xml:space="preserve"> Williams ou equivalente. Remunera também materiais acessórios e mão de obra necessária para a execução dos serviços de: limpeza da superfície, lixamento, remoção do pó e aplicação do selador, conforme recomendações do fabricante; aplicação da tinta, em 2 ou 3 demãos sobre superfície revestida com massa, conforme especificações do fabricante e as normas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NBR 11702 e NBR 15079.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color w:val="00000A"/>
          <w:sz w:val="23"/>
          <w:szCs w:val="23"/>
        </w:rPr>
      </w:pPr>
      <w:r>
        <w:rPr>
          <w:rFonts w:ascii="Arial" w:hAnsi="Arial" w:cs="Arial"/>
          <w:b/>
          <w:color w:val="00000A"/>
          <w:sz w:val="23"/>
          <w:szCs w:val="23"/>
        </w:rPr>
        <w:t>15 HIDRÁULICA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color w:val="00000A"/>
          <w:sz w:val="23"/>
          <w:szCs w:val="23"/>
        </w:rPr>
        <w:t>15.1 L</w:t>
      </w:r>
      <w:r>
        <w:rPr>
          <w:rFonts w:ascii="Arial" w:hAnsi="Arial" w:cs="Arial"/>
          <w:b/>
          <w:sz w:val="23"/>
          <w:szCs w:val="23"/>
        </w:rPr>
        <w:t>avatório de louça pequeno com coluna suspensa - linha especial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lavatório de louça pequeno com coluna suspensa; referência linha Vogue Plus, fabricação Deca ou equivalente; materiais de fixação; materiais acessórios e a mão de obra necessária para sua instalação.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15.2 Torneira de parede acionamento hidromecânico, em latão cromado, DN= 1/2´ ou 3/4´ 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torneira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 xml:space="preserve">). 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item remunera o fornecimento e instalação de torneira de parede completa, para lavatório, bebedouro, ou uso geral, com acionamento por meio de válvula de sistema hidromecânico, onde duas forças simultâneas atuam: a hidráulica (pressão da água) e a mecânica (pressão do acionamento manual), tempo médio de fechamento de 6 segundos, acabamento cromado, diâmetro nominal de 1/2, com adaptador para a instalação em tubulação de 3/4; referência comercial Torneira </w:t>
      </w:r>
      <w:proofErr w:type="spellStart"/>
      <w:r>
        <w:rPr>
          <w:rFonts w:ascii="Arial" w:hAnsi="Arial" w:cs="Arial"/>
          <w:sz w:val="23"/>
          <w:szCs w:val="23"/>
        </w:rPr>
        <w:t>Pressmatic</w:t>
      </w:r>
      <w:proofErr w:type="spellEnd"/>
      <w:r>
        <w:rPr>
          <w:rFonts w:ascii="Arial" w:hAnsi="Arial" w:cs="Arial"/>
          <w:sz w:val="23"/>
          <w:szCs w:val="23"/>
        </w:rPr>
        <w:t xml:space="preserve"> 120, fabricação Docol ou equivalente. Remunera também materiais acessórios necessários à instalação e ligação à rede de água.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15.3 Sifão plástico sanfonado universal de 1´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sifão instalado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O item remunera o fornecimento do sifão sanfonado universal, entrada de 1´´ e com saída de 40 mm ou 50 mm; materiais acessórios e a mão-de-obra necessária para sua instalação e ligação à rede de esgoto, referência SSU40 ou SSU, fabricação Astra, ou equivalente.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sz w:val="23"/>
          <w:szCs w:val="23"/>
        </w:rPr>
        <w:t xml:space="preserve">15.4 Registro de gaveta em latão fundido cromado com </w:t>
      </w:r>
      <w:proofErr w:type="spellStart"/>
      <w:r>
        <w:rPr>
          <w:rFonts w:ascii="Arial" w:hAnsi="Arial" w:cs="Arial"/>
          <w:b/>
          <w:sz w:val="23"/>
          <w:szCs w:val="23"/>
        </w:rPr>
        <w:t>canopla</w:t>
      </w:r>
      <w:proofErr w:type="spellEnd"/>
      <w:r>
        <w:rPr>
          <w:rFonts w:ascii="Arial" w:hAnsi="Arial" w:cs="Arial"/>
          <w:b/>
          <w:sz w:val="23"/>
          <w:szCs w:val="23"/>
        </w:rPr>
        <w:t>, DN= 3/4´ - linha especial</w:t>
      </w:r>
      <w:r>
        <w:rPr>
          <w:rFonts w:ascii="Arial" w:hAnsi="Arial" w:cs="Arial"/>
          <w:sz w:val="23"/>
          <w:szCs w:val="23"/>
        </w:rPr>
        <w:t xml:space="preserve"> 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registro instalado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 xml:space="preserve">). 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item remunera o fornecimento e instalação de registro de gaveta em latão fundido, acabamento cromado com </w:t>
      </w:r>
      <w:proofErr w:type="spellStart"/>
      <w:r>
        <w:rPr>
          <w:rFonts w:ascii="Arial" w:hAnsi="Arial" w:cs="Arial"/>
          <w:sz w:val="23"/>
          <w:szCs w:val="23"/>
        </w:rPr>
        <w:t>canopla</w:t>
      </w:r>
      <w:proofErr w:type="spellEnd"/>
      <w:r>
        <w:rPr>
          <w:rFonts w:ascii="Arial" w:hAnsi="Arial" w:cs="Arial"/>
          <w:sz w:val="23"/>
          <w:szCs w:val="23"/>
        </w:rPr>
        <w:t>, linha especial, diâmetro nominal de 3/4´´, inclusive materiais acessórios e de vedação.</w:t>
      </w:r>
    </w:p>
    <w:p w:rsidR="00BD72BC" w:rsidRDefault="00BD72BC">
      <w:pPr>
        <w:suppressAutoHyphens w:val="0"/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15.5 Engate flexível de PVC DN= 1/2´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engate flexível instalado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engate flexível em PVC com diâmetro nominal de 1/2", comprimento variável de 40 cm, materiais acessórios e a mão de obra necessária para a instalação do engate flexível em aparelhos sanitários.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sz w:val="23"/>
          <w:szCs w:val="23"/>
        </w:rPr>
        <w:t>15.6 Bacia sifonada de louça para pessoas com mobilidade reduzida - capacidade de 6 litros</w:t>
      </w:r>
      <w:r>
        <w:rPr>
          <w:rFonts w:ascii="Arial" w:hAnsi="Arial" w:cs="Arial"/>
          <w:sz w:val="23"/>
          <w:szCs w:val="23"/>
        </w:rPr>
        <w:t xml:space="preserve"> 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bacia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</w:pPr>
      <w:r>
        <w:rPr>
          <w:rFonts w:ascii="Arial" w:hAnsi="Arial" w:cs="Arial"/>
          <w:sz w:val="23"/>
          <w:szCs w:val="23"/>
        </w:rPr>
        <w:t xml:space="preserve">O item remunera o fornecimento e instalação da bacia sifonada de louça, linha tradicional, com altura especial, apropriada para pessoas com mobilidade reduzida ou em cadeira de rodas, com as características: funcionamento do </w:t>
      </w:r>
      <w:proofErr w:type="spellStart"/>
      <w:r>
        <w:rPr>
          <w:rFonts w:ascii="Arial" w:hAnsi="Arial" w:cs="Arial"/>
          <w:sz w:val="23"/>
          <w:szCs w:val="23"/>
        </w:rPr>
        <w:t>sifonamento</w:t>
      </w:r>
      <w:proofErr w:type="spellEnd"/>
      <w:r>
        <w:rPr>
          <w:rFonts w:ascii="Arial" w:hAnsi="Arial" w:cs="Arial"/>
          <w:sz w:val="23"/>
          <w:szCs w:val="23"/>
        </w:rPr>
        <w:t xml:space="preserve"> com volume de descarga reduzido - 6 litros (categoria V.D.R.), com todos os requisitos exigidos pelo Programa Brasileiro de Qualidade e Produtividade do Habitat (PBQP-H); referência comercial linha Vogue Conforto P-510 fabricação Deca ou equivalente de mercado desde que qualificada como em conformidade com todos os requisitos considerados: volume de água consumido por descarga, análise visual, análise dimensional, remoção de esferas, remoção de mídia composta, lavagem de parede, remoção de grânulos, reposição do fecho hídrico, respingos de água e transporte de sólidos. Remunera também: bolsa de borracha; anel de borracha de expansão de 4; tubo de ligação com </w:t>
      </w:r>
      <w:proofErr w:type="spellStart"/>
      <w:r>
        <w:rPr>
          <w:rFonts w:ascii="Arial" w:hAnsi="Arial" w:cs="Arial"/>
          <w:sz w:val="23"/>
          <w:szCs w:val="23"/>
        </w:rPr>
        <w:t>canopla</w:t>
      </w:r>
      <w:proofErr w:type="spellEnd"/>
      <w:r>
        <w:rPr>
          <w:rFonts w:ascii="Arial" w:hAnsi="Arial" w:cs="Arial"/>
          <w:sz w:val="23"/>
          <w:szCs w:val="23"/>
        </w:rPr>
        <w:t>, parafusos niquelados; massa de vidro para fixação e assentamento da base; materiais acessórios e a mão de obra necessária para a instalação e ligação às redes de água e esgoto. Norma técnica: NBR 9050.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15.7 Tubo de PVC rígido soldável marrom, DN= 25 mm, (3/4´), inclusive conexões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comprimento de tubulação executada (m)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a) Nas redes de distribuição, prumadas, ramais e sub-ramais do sistema predial de água fria, considerar comprimento total de tubulação executada;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b) Nas tubulações de entradas, saídas e interligações de caixas d´água e reservatórios e barriletes, considerar um metro linear para cada conexão de tubulação correspondente, acrescido ao comprimento da tubulação executada.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</w:t>
      </w:r>
      <w:proofErr w:type="spellStart"/>
      <w:r>
        <w:rPr>
          <w:rFonts w:ascii="Arial" w:hAnsi="Arial" w:cs="Arial"/>
          <w:sz w:val="23"/>
          <w:szCs w:val="23"/>
        </w:rPr>
        <w:t>ítem</w:t>
      </w:r>
      <w:proofErr w:type="spellEnd"/>
      <w:r>
        <w:rPr>
          <w:rFonts w:ascii="Arial" w:hAnsi="Arial" w:cs="Arial"/>
          <w:sz w:val="23"/>
          <w:szCs w:val="23"/>
        </w:rPr>
        <w:t xml:space="preserve"> remunera o fornecimento de materiais e mão de obra, e instalação de tubos de PVC rígido marrom com juntas soldáveis DN= 25 mm (3/4), inclusive conexões, para sistemas prediais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de água fria. Nos tubos deverão estar gravados marca do fabricante, norma de fabricação e o diâmetro do tubo; remunera também: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a) Conexões de PVC rígido com bucha e reforço de latão, juntas soldáveis e rosqueáveis para ligações em tubos metálicos, registros e torneiras, adesivo plástico, solução limpadora para juntas soldáveis, materiais acessórios e eventuais perdas de corte;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b) Abertura e fechamento de rasgos para tubulações embutidas, ou escavação e </w:t>
      </w:r>
      <w:proofErr w:type="spellStart"/>
      <w:r>
        <w:rPr>
          <w:rFonts w:ascii="Arial" w:hAnsi="Arial" w:cs="Arial"/>
          <w:sz w:val="23"/>
          <w:szCs w:val="23"/>
        </w:rPr>
        <w:t>reaterro</w:t>
      </w:r>
      <w:proofErr w:type="spellEnd"/>
      <w:r>
        <w:rPr>
          <w:rFonts w:ascii="Arial" w:hAnsi="Arial" w:cs="Arial"/>
          <w:sz w:val="23"/>
          <w:szCs w:val="23"/>
        </w:rPr>
        <w:t xml:space="preserve"> apiloado de valas com profundidade média de 60 cm para tubulações enterradas ou fixação por grampos ou presilhas para tubulações aparentes.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Normas técnicas: NBR-5648 e NBR-5626.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jc w:val="both"/>
      </w:pPr>
      <w:r>
        <w:rPr>
          <w:rFonts w:ascii="Arial" w:hAnsi="Arial" w:cs="Arial"/>
          <w:b/>
          <w:sz w:val="23"/>
          <w:szCs w:val="23"/>
        </w:rPr>
        <w:t xml:space="preserve">15.8 Tubo de PVC rígido soldável marrom, DN= 50 mm, (1 1/2´), inclusive </w:t>
      </w:r>
      <w:proofErr w:type="gramStart"/>
      <w:r>
        <w:rPr>
          <w:rFonts w:ascii="Arial" w:hAnsi="Arial" w:cs="Arial"/>
          <w:b/>
          <w:sz w:val="23"/>
          <w:szCs w:val="23"/>
        </w:rPr>
        <w:t>conexões</w:t>
      </w:r>
      <w:r>
        <w:rPr>
          <w:rFonts w:ascii="Arial" w:hAnsi="Arial" w:cs="Arial"/>
          <w:sz w:val="23"/>
          <w:szCs w:val="23"/>
        </w:rPr>
        <w:t xml:space="preserve"> Será</w:t>
      </w:r>
      <w:proofErr w:type="gramEnd"/>
      <w:r>
        <w:rPr>
          <w:rFonts w:ascii="Arial" w:hAnsi="Arial" w:cs="Arial"/>
          <w:sz w:val="23"/>
          <w:szCs w:val="23"/>
        </w:rPr>
        <w:t xml:space="preserve"> medido por comprimento de tubulação executada (m) 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a) Nas redes de distribuição, prumadas, ramais e sub-ramais do sistema predial de água fria, considerar comprimento total de tubulação executada; 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b) Nas tubulações de entradas, saídas e interligações de caixas d´água e reservatórios e barriletes, considerar um metro linear para cada conexão de tubulação correspondente, acrescido ao comprimento da tubulação executada.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</w:t>
      </w:r>
      <w:proofErr w:type="spellStart"/>
      <w:r>
        <w:rPr>
          <w:rFonts w:ascii="Arial" w:hAnsi="Arial" w:cs="Arial"/>
          <w:sz w:val="23"/>
          <w:szCs w:val="23"/>
        </w:rPr>
        <w:t>ítem</w:t>
      </w:r>
      <w:proofErr w:type="spellEnd"/>
      <w:r>
        <w:rPr>
          <w:rFonts w:ascii="Arial" w:hAnsi="Arial" w:cs="Arial"/>
          <w:sz w:val="23"/>
          <w:szCs w:val="23"/>
        </w:rPr>
        <w:t xml:space="preserve"> remunera o fornecimento de materiais e mão de obra, e instalação de tubos de PVC rígido marrom com juntas soldáveis DN= 50 mm (1.1/2), inclusive conexões, para sistemas prediais de água fria. Nos tubos deverão estar gravados marca do fabricante, norma de fabricação e o diâmetro do tubo; remunera também: a) Conexões de PVC rígido com bucha e reforço de latão, juntas soldáveis e rosqueáveis para ligações em tubos metálicos, registros e torneiras, adesivo plástico, solução limpadora para juntas soldáveis, materiais acessórios e eventuais perdas de corte; b) Abertura e fechamento de rasgos para tubulações embutidas, ou escavação e </w:t>
      </w:r>
      <w:proofErr w:type="spellStart"/>
      <w:r>
        <w:rPr>
          <w:rFonts w:ascii="Arial" w:hAnsi="Arial" w:cs="Arial"/>
          <w:sz w:val="23"/>
          <w:szCs w:val="23"/>
        </w:rPr>
        <w:t>reaterro</w:t>
      </w:r>
      <w:proofErr w:type="spellEnd"/>
      <w:r>
        <w:rPr>
          <w:rFonts w:ascii="Arial" w:hAnsi="Arial" w:cs="Arial"/>
          <w:sz w:val="23"/>
          <w:szCs w:val="23"/>
        </w:rPr>
        <w:t xml:space="preserve"> apiloado de valas com profundidade média de 60 cm para tubulações enterradas ou fixação por grampos ou presilhas para tubulações aparentes. Normas técnicas: NBR-5648 e NBR-5626</w:t>
      </w:r>
    </w:p>
    <w:p w:rsidR="00BD72BC" w:rsidRDefault="00BD72BC">
      <w:pPr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15.9 Tubo de PVC rígido branco </w:t>
      </w:r>
      <w:proofErr w:type="spellStart"/>
      <w:r>
        <w:rPr>
          <w:rFonts w:ascii="Arial" w:hAnsi="Arial" w:cs="Arial"/>
          <w:b/>
          <w:bCs/>
          <w:sz w:val="23"/>
          <w:szCs w:val="23"/>
        </w:rPr>
        <w:t>PxB</w:t>
      </w:r>
      <w:proofErr w:type="spellEnd"/>
      <w:r>
        <w:rPr>
          <w:rFonts w:ascii="Arial" w:hAnsi="Arial" w:cs="Arial"/>
          <w:b/>
          <w:bCs/>
          <w:sz w:val="23"/>
          <w:szCs w:val="23"/>
        </w:rPr>
        <w:t xml:space="preserve"> com virola e anel de borracha, linha esgoto série normal, DN= 50 mm, inclusive conexões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comprimento de tubulação executada (m).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a) Nas redes de captação dos sistemas prediais de esgoto e águas pluviais, prumadas, coletores e </w:t>
      </w:r>
      <w:proofErr w:type="spellStart"/>
      <w:r>
        <w:rPr>
          <w:rFonts w:ascii="Arial" w:hAnsi="Arial" w:cs="Arial"/>
          <w:sz w:val="23"/>
          <w:szCs w:val="23"/>
        </w:rPr>
        <w:t>subcoletores</w:t>
      </w:r>
      <w:proofErr w:type="spellEnd"/>
      <w:r>
        <w:rPr>
          <w:rFonts w:ascii="Arial" w:hAnsi="Arial" w:cs="Arial"/>
          <w:sz w:val="23"/>
          <w:szCs w:val="23"/>
        </w:rPr>
        <w:t>, considerar o comprimento total da tubulação executada.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</w:t>
      </w:r>
      <w:proofErr w:type="spellStart"/>
      <w:r>
        <w:rPr>
          <w:rFonts w:ascii="Arial" w:hAnsi="Arial" w:cs="Arial"/>
          <w:sz w:val="23"/>
          <w:szCs w:val="23"/>
        </w:rPr>
        <w:t>ítem</w:t>
      </w:r>
      <w:proofErr w:type="spellEnd"/>
      <w:r>
        <w:rPr>
          <w:rFonts w:ascii="Arial" w:hAnsi="Arial" w:cs="Arial"/>
          <w:sz w:val="23"/>
          <w:szCs w:val="23"/>
        </w:rPr>
        <w:t xml:space="preserve"> remunera o fornecimento de materiais e mão de obra, e instalação de tubos de PVC rígido branco, </w:t>
      </w:r>
      <w:proofErr w:type="spellStart"/>
      <w:r>
        <w:rPr>
          <w:rFonts w:ascii="Arial" w:hAnsi="Arial" w:cs="Arial"/>
          <w:sz w:val="23"/>
          <w:szCs w:val="23"/>
        </w:rPr>
        <w:t>PxB</w:t>
      </w:r>
      <w:proofErr w:type="spellEnd"/>
      <w:r>
        <w:rPr>
          <w:rFonts w:ascii="Arial" w:hAnsi="Arial" w:cs="Arial"/>
          <w:sz w:val="23"/>
          <w:szCs w:val="23"/>
        </w:rPr>
        <w:t xml:space="preserve"> com virola e anel de borracha, linha esgoto série normal, DN= 50 mm, inclusive conexões. Nos tubos deverão estar gravados marca do fabricante, norma de fabricação e o diâmetro do tubo; remunera também: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a) Solução limpadora e pasta lubrificante para juntas elásticas, materiais acessórios e eventuais perdas de corte;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b) Abertura e fechamento de rasgos para tubulações embutidas, ou escavação e </w:t>
      </w:r>
      <w:proofErr w:type="spellStart"/>
      <w:r>
        <w:rPr>
          <w:rFonts w:ascii="Arial" w:hAnsi="Arial" w:cs="Arial"/>
          <w:sz w:val="23"/>
          <w:szCs w:val="23"/>
        </w:rPr>
        <w:t>reaterro</w:t>
      </w:r>
      <w:proofErr w:type="spellEnd"/>
      <w:r>
        <w:rPr>
          <w:rFonts w:ascii="Arial" w:hAnsi="Arial" w:cs="Arial"/>
          <w:sz w:val="23"/>
          <w:szCs w:val="23"/>
        </w:rPr>
        <w:t xml:space="preserve"> apiloado de valas com profundidade média de 60 cm para tubulações enterradas ou fixação por grampos ou presilhas para tubulações aparentes.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Normas técnicas: NBR-5688, NBR-8160.</w:t>
      </w:r>
    </w:p>
    <w:p w:rsidR="00BD72BC" w:rsidRDefault="00BD72BC">
      <w:pPr>
        <w:jc w:val="both"/>
        <w:rPr>
          <w:rFonts w:ascii="Arial" w:hAnsi="Arial" w:cs="Arial"/>
          <w:sz w:val="23"/>
          <w:szCs w:val="23"/>
        </w:rPr>
      </w:pPr>
    </w:p>
    <w:p w:rsidR="00BD72BC" w:rsidRDefault="00753F68">
      <w:pPr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15.10 Tubo de PVC rígido branco </w:t>
      </w:r>
      <w:proofErr w:type="spellStart"/>
      <w:r>
        <w:rPr>
          <w:rFonts w:ascii="Arial" w:hAnsi="Arial" w:cs="Arial"/>
          <w:b/>
          <w:sz w:val="23"/>
          <w:szCs w:val="23"/>
        </w:rPr>
        <w:t>PxB</w:t>
      </w:r>
      <w:proofErr w:type="spellEnd"/>
      <w:r>
        <w:rPr>
          <w:rFonts w:ascii="Arial" w:hAnsi="Arial" w:cs="Arial"/>
          <w:b/>
          <w:sz w:val="23"/>
          <w:szCs w:val="23"/>
        </w:rPr>
        <w:t xml:space="preserve"> com virola e anel de borracha, linha esgoto série normal, DN= 100 mm, inclusive conexões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Será medido por comprimento de tubulação executada (m).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a) Nas redes de captação dos sistemas prediais de esgoto e águas pluviais, prumadas, coletores e </w:t>
      </w:r>
      <w:proofErr w:type="spellStart"/>
      <w:r>
        <w:rPr>
          <w:rFonts w:ascii="Arial" w:hAnsi="Arial" w:cs="Arial"/>
          <w:sz w:val="23"/>
          <w:szCs w:val="23"/>
        </w:rPr>
        <w:t>subcoletores</w:t>
      </w:r>
      <w:proofErr w:type="spellEnd"/>
      <w:r>
        <w:rPr>
          <w:rFonts w:ascii="Arial" w:hAnsi="Arial" w:cs="Arial"/>
          <w:sz w:val="23"/>
          <w:szCs w:val="23"/>
        </w:rPr>
        <w:t>, considerar o comprimento total da tubulação executada.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 xml:space="preserve">O </w:t>
      </w:r>
      <w:proofErr w:type="spellStart"/>
      <w:r>
        <w:rPr>
          <w:rFonts w:ascii="Arial" w:hAnsi="Arial" w:cs="Arial"/>
          <w:sz w:val="23"/>
          <w:szCs w:val="23"/>
        </w:rPr>
        <w:t>ítem</w:t>
      </w:r>
      <w:proofErr w:type="spellEnd"/>
      <w:r>
        <w:rPr>
          <w:rFonts w:ascii="Arial" w:hAnsi="Arial" w:cs="Arial"/>
          <w:sz w:val="23"/>
          <w:szCs w:val="23"/>
        </w:rPr>
        <w:t xml:space="preserve"> remunera o fornecimento de materiais e mão de obra, e instalação de tubos de PVC rígido branco, </w:t>
      </w:r>
      <w:proofErr w:type="spellStart"/>
      <w:r>
        <w:rPr>
          <w:rFonts w:ascii="Arial" w:hAnsi="Arial" w:cs="Arial"/>
          <w:sz w:val="23"/>
          <w:szCs w:val="23"/>
        </w:rPr>
        <w:t>PxB</w:t>
      </w:r>
      <w:proofErr w:type="spellEnd"/>
      <w:r>
        <w:rPr>
          <w:rFonts w:ascii="Arial" w:hAnsi="Arial" w:cs="Arial"/>
          <w:sz w:val="23"/>
          <w:szCs w:val="23"/>
        </w:rPr>
        <w:t xml:space="preserve"> com virola e anel de borracha, linha esgoto série normal, DN= 100 mm, inclusive conexões. Nos tubos deverão estar gravados marca do fabricante, norma de fabricação e o diâmetro do tubo; remunera também: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a) Solução limpadora e pasta lubrificante para juntas elásticas, materiais acessórios e eventuais perdas de corte; </w:t>
      </w:r>
    </w:p>
    <w:p w:rsidR="00BD72BC" w:rsidRDefault="00753F68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b) Abertura e fechamento de rasgos para tubulações embutidas, ou escavação e </w:t>
      </w:r>
      <w:proofErr w:type="spellStart"/>
      <w:r>
        <w:rPr>
          <w:rFonts w:ascii="Arial" w:hAnsi="Arial" w:cs="Arial"/>
          <w:sz w:val="23"/>
          <w:szCs w:val="23"/>
        </w:rPr>
        <w:t>reaterro</w:t>
      </w:r>
      <w:proofErr w:type="spellEnd"/>
      <w:r>
        <w:rPr>
          <w:rFonts w:ascii="Arial" w:hAnsi="Arial" w:cs="Arial"/>
          <w:sz w:val="23"/>
          <w:szCs w:val="23"/>
        </w:rPr>
        <w:t xml:space="preserve"> apiloado de valas com profundidade média de 60 cm para tubulações enterradas ou fixação por grampos ou presilhas para tubulações aparentes. Normas técnicas: NBR-5688, NBR-8160.</w:t>
      </w:r>
    </w:p>
    <w:p w:rsidR="00BD72BC" w:rsidRDefault="00BD72BC">
      <w:pPr>
        <w:suppressAutoHyphens w:val="0"/>
        <w:jc w:val="both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15.11 Caixa sifonada de PVC rígido de 150 x 150 x 50 mm, com grelha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caixa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e instalação da caixa sifonada, em PVC rígido, de 150 x 150 x 50 mm, inclusive grelha metálica e o material necessário para sua ligação à rede esgoto.</w:t>
      </w:r>
    </w:p>
    <w:p w:rsidR="00BD72BC" w:rsidRDefault="00BD72BC">
      <w:pPr>
        <w:suppressAutoHyphens w:val="0"/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15.12 Reservatório em polietileno com tampa de rosca - capacidade de 500 litros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reservatório instalado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>).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 item remunera o fornecimento de reservatório com capacidade de 500 litros destinado ao armazenamento de água, constituído por: corpo cilíndrico em polietileno, acabamento interno liso para evitar o crescimento e proliferação de algas e fungos; tampa superior de rosca para inspeção; furações para: entrada, saída e ladrão e a mão de obra necessária para o transporte interno, assentamento e instalação completa do reservatório.</w:t>
      </w:r>
    </w:p>
    <w:p w:rsidR="00BD72BC" w:rsidRDefault="00BD72BC">
      <w:pPr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suppressAutoHyphens w:val="0"/>
      </w:pPr>
      <w:r>
        <w:rPr>
          <w:rFonts w:ascii="Arial" w:hAnsi="Arial" w:cs="Arial"/>
          <w:b/>
          <w:sz w:val="23"/>
          <w:szCs w:val="23"/>
        </w:rPr>
        <w:t xml:space="preserve">15.13 Válvula de descarga </w:t>
      </w:r>
      <w:proofErr w:type="spellStart"/>
      <w:r>
        <w:rPr>
          <w:rFonts w:ascii="Arial" w:hAnsi="Arial" w:cs="Arial"/>
          <w:b/>
          <w:sz w:val="23"/>
          <w:szCs w:val="23"/>
        </w:rPr>
        <w:t>antivandalismo</w:t>
      </w:r>
      <w:proofErr w:type="spellEnd"/>
      <w:r>
        <w:rPr>
          <w:rFonts w:ascii="Arial" w:hAnsi="Arial" w:cs="Arial"/>
          <w:b/>
          <w:sz w:val="23"/>
          <w:szCs w:val="23"/>
        </w:rPr>
        <w:t>, DN= 1 1/2´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unidade de válvula de descarga instalada (</w:t>
      </w:r>
      <w:proofErr w:type="spellStart"/>
      <w:r>
        <w:rPr>
          <w:rFonts w:ascii="Arial" w:hAnsi="Arial" w:cs="Arial"/>
          <w:sz w:val="23"/>
          <w:szCs w:val="23"/>
        </w:rPr>
        <w:t>un</w:t>
      </w:r>
      <w:proofErr w:type="spellEnd"/>
      <w:r>
        <w:rPr>
          <w:rFonts w:ascii="Arial" w:hAnsi="Arial" w:cs="Arial"/>
          <w:sz w:val="23"/>
          <w:szCs w:val="23"/>
        </w:rPr>
        <w:t xml:space="preserve">). </w:t>
      </w:r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item remunera o fornecimento e instalação da válvula de descarga, com registro próprio, em latão ou bronze, com acabamento cromado liso, diâmetro nominal de 1 1/2, tipo </w:t>
      </w:r>
      <w:proofErr w:type="spellStart"/>
      <w:r>
        <w:rPr>
          <w:rFonts w:ascii="Arial" w:hAnsi="Arial" w:cs="Arial"/>
          <w:sz w:val="23"/>
          <w:szCs w:val="23"/>
        </w:rPr>
        <w:t>antivandalismo</w:t>
      </w:r>
      <w:proofErr w:type="spellEnd"/>
      <w:r>
        <w:rPr>
          <w:rFonts w:ascii="Arial" w:hAnsi="Arial" w:cs="Arial"/>
          <w:sz w:val="23"/>
          <w:szCs w:val="23"/>
        </w:rPr>
        <w:t xml:space="preserve">; referência comercial Hidra </w:t>
      </w:r>
      <w:proofErr w:type="spellStart"/>
      <w:r>
        <w:rPr>
          <w:rFonts w:ascii="Arial" w:hAnsi="Arial" w:cs="Arial"/>
          <w:sz w:val="23"/>
          <w:szCs w:val="23"/>
        </w:rPr>
        <w:t>Maxpública</w:t>
      </w:r>
      <w:proofErr w:type="spellEnd"/>
      <w:r>
        <w:rPr>
          <w:rFonts w:ascii="Arial" w:hAnsi="Arial" w:cs="Arial"/>
          <w:sz w:val="23"/>
          <w:szCs w:val="23"/>
        </w:rPr>
        <w:t xml:space="preserve">, fabricação Deca, </w:t>
      </w:r>
      <w:proofErr w:type="spellStart"/>
      <w:r>
        <w:rPr>
          <w:rFonts w:ascii="Arial" w:hAnsi="Arial" w:cs="Arial"/>
          <w:sz w:val="23"/>
          <w:szCs w:val="23"/>
        </w:rPr>
        <w:t>Pressmatic</w:t>
      </w:r>
      <w:proofErr w:type="spellEnd"/>
      <w:r>
        <w:rPr>
          <w:rFonts w:ascii="Arial" w:hAnsi="Arial" w:cs="Arial"/>
          <w:sz w:val="23"/>
          <w:szCs w:val="23"/>
        </w:rPr>
        <w:t xml:space="preserve"> fabricação Docol ou equivalente. Remunera também materiais acessórios de vedação e o tubo de descida.</w:t>
      </w:r>
    </w:p>
    <w:p w:rsidR="00BD72BC" w:rsidRDefault="00BD72BC">
      <w:pPr>
        <w:suppressAutoHyphens w:val="0"/>
        <w:rPr>
          <w:rFonts w:ascii="Arial" w:hAnsi="Arial" w:cs="Arial"/>
          <w:b/>
          <w:color w:val="00000A"/>
          <w:sz w:val="23"/>
          <w:szCs w:val="23"/>
        </w:rPr>
      </w:pPr>
    </w:p>
    <w:p w:rsidR="00BD72BC" w:rsidRDefault="00753F68">
      <w:p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16 CONCRETO EXTERNO</w:t>
      </w:r>
    </w:p>
    <w:p w:rsidR="00BD72BC" w:rsidRDefault="00BD72BC">
      <w:pPr>
        <w:rPr>
          <w:rFonts w:ascii="Arial" w:hAnsi="Arial" w:cs="Arial"/>
          <w:sz w:val="23"/>
          <w:szCs w:val="23"/>
        </w:rPr>
      </w:pPr>
    </w:p>
    <w:p w:rsidR="00BD72BC" w:rsidRDefault="00753F68">
      <w:pPr>
        <w:suppressAutoHyphens w:val="0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16.1 Piso com requadro em concreto simples sem controle de </w:t>
      </w:r>
      <w:proofErr w:type="spellStart"/>
      <w:r>
        <w:rPr>
          <w:rFonts w:ascii="Arial" w:hAnsi="Arial" w:cs="Arial"/>
          <w:b/>
          <w:bCs/>
          <w:sz w:val="23"/>
          <w:szCs w:val="23"/>
        </w:rPr>
        <w:t>fck</w:t>
      </w:r>
      <w:proofErr w:type="spellEnd"/>
    </w:p>
    <w:p w:rsidR="00BD72BC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Será medido por volume de piso em concreto simples executado, na espessura indicada em projeto (m³).</w:t>
      </w:r>
    </w:p>
    <w:p w:rsidR="007F7BE5" w:rsidRPr="00753F68" w:rsidRDefault="00753F68">
      <w:pPr>
        <w:suppressAutoHyphens w:val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item remunera o fornecimento de cimento; areia; pedra britada nº 1; ripa de </w:t>
      </w:r>
      <w:proofErr w:type="spellStart"/>
      <w:r>
        <w:rPr>
          <w:rFonts w:ascii="Arial" w:hAnsi="Arial" w:cs="Arial"/>
          <w:sz w:val="23"/>
          <w:szCs w:val="23"/>
        </w:rPr>
        <w:t>Cupiúba</w:t>
      </w:r>
      <w:proofErr w:type="spellEnd"/>
      <w:r>
        <w:rPr>
          <w:rFonts w:ascii="Arial" w:hAnsi="Arial" w:cs="Arial"/>
          <w:sz w:val="23"/>
          <w:szCs w:val="23"/>
        </w:rPr>
        <w:t xml:space="preserve"> (</w:t>
      </w:r>
      <w:proofErr w:type="spellStart"/>
      <w:r>
        <w:rPr>
          <w:rFonts w:ascii="Arial" w:hAnsi="Arial" w:cs="Arial"/>
          <w:sz w:val="23"/>
          <w:szCs w:val="23"/>
        </w:rPr>
        <w:t>Goupia</w:t>
      </w:r>
      <w:proofErr w:type="spellEnd"/>
      <w:r>
        <w:rPr>
          <w:rFonts w:ascii="Arial" w:hAnsi="Arial" w:cs="Arial"/>
          <w:sz w:val="23"/>
          <w:szCs w:val="23"/>
        </w:rPr>
        <w:t xml:space="preserve"> glabra), ou Maçaranduba (</w:t>
      </w:r>
      <w:proofErr w:type="spellStart"/>
      <w:r>
        <w:rPr>
          <w:rFonts w:ascii="Arial" w:hAnsi="Arial" w:cs="Arial"/>
          <w:sz w:val="23"/>
          <w:szCs w:val="23"/>
        </w:rPr>
        <w:t>Manilkara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spp</w:t>
      </w:r>
      <w:proofErr w:type="spellEnd"/>
      <w:r>
        <w:rPr>
          <w:rFonts w:ascii="Arial" w:hAnsi="Arial" w:cs="Arial"/>
          <w:sz w:val="23"/>
          <w:szCs w:val="23"/>
        </w:rPr>
        <w:t xml:space="preserve">), conhecida também como </w:t>
      </w:r>
      <w:proofErr w:type="spellStart"/>
      <w:r>
        <w:rPr>
          <w:rFonts w:ascii="Arial" w:hAnsi="Arial" w:cs="Arial"/>
          <w:sz w:val="23"/>
          <w:szCs w:val="23"/>
        </w:rPr>
        <w:t>Paraju</w:t>
      </w:r>
      <w:proofErr w:type="spellEnd"/>
      <w:r>
        <w:rPr>
          <w:rFonts w:ascii="Arial" w:hAnsi="Arial" w:cs="Arial"/>
          <w:sz w:val="23"/>
          <w:szCs w:val="23"/>
        </w:rPr>
        <w:t xml:space="preserve">; remunera também o fornecimento de materiais acessórios e a mão de obra necessária para o preparo do concreto, lançamento e a execução do piso com acabamento desempenado, em concreto preparado no local, sem o controle do </w:t>
      </w:r>
      <w:proofErr w:type="spellStart"/>
      <w:r>
        <w:rPr>
          <w:rFonts w:ascii="Arial" w:hAnsi="Arial" w:cs="Arial"/>
          <w:sz w:val="23"/>
          <w:szCs w:val="23"/>
        </w:rPr>
        <w:t>fck</w:t>
      </w:r>
      <w:proofErr w:type="spellEnd"/>
      <w:r>
        <w:rPr>
          <w:rFonts w:ascii="Arial" w:hAnsi="Arial" w:cs="Arial"/>
          <w:sz w:val="23"/>
          <w:szCs w:val="23"/>
        </w:rPr>
        <w:t>.</w:t>
      </w:r>
    </w:p>
    <w:p w:rsidR="007F7BE5" w:rsidRDefault="007F7BE5">
      <w:pPr>
        <w:suppressAutoHyphens w:val="0"/>
      </w:pPr>
    </w:p>
    <w:p w:rsidR="00703E2D" w:rsidRDefault="00703E2D">
      <w:pPr>
        <w:suppressAutoHyphens w:val="0"/>
      </w:pPr>
    </w:p>
    <w:p w:rsidR="00703E2D" w:rsidRDefault="00703E2D">
      <w:pPr>
        <w:suppressAutoHyphens w:val="0"/>
      </w:pPr>
    </w:p>
    <w:p w:rsidR="00703E2D" w:rsidRDefault="00703E2D">
      <w:pPr>
        <w:suppressAutoHyphens w:val="0"/>
      </w:pPr>
    </w:p>
    <w:p w:rsidR="007F7BE5" w:rsidRDefault="007F7BE5" w:rsidP="007F7BE5">
      <w:p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lastRenderedPageBreak/>
        <w:t>17 QUADRA</w:t>
      </w:r>
    </w:p>
    <w:p w:rsidR="007F7BE5" w:rsidRDefault="007F7BE5" w:rsidP="007F7BE5">
      <w:pPr>
        <w:rPr>
          <w:rFonts w:ascii="Arial" w:hAnsi="Arial" w:cs="Arial"/>
          <w:sz w:val="23"/>
          <w:szCs w:val="23"/>
        </w:rPr>
      </w:pPr>
    </w:p>
    <w:p w:rsidR="007F7BE5" w:rsidRPr="007F7BE5" w:rsidRDefault="007F7BE5" w:rsidP="007F7BE5">
      <w:pPr>
        <w:suppressAutoHyphens w:val="0"/>
        <w:overflowPunct/>
        <w:rPr>
          <w:rFonts w:ascii="CIDFont+F1" w:eastAsia="Times New Roman" w:hAnsi="CIDFont+F1" w:cs="Times New Roman"/>
          <w:b/>
          <w:bCs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bCs/>
          <w:sz w:val="23"/>
          <w:szCs w:val="23"/>
        </w:rPr>
        <w:t xml:space="preserve">17.1 </w:t>
      </w:r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 xml:space="preserve">Limpeza complementar com </w:t>
      </w:r>
      <w:proofErr w:type="spellStart"/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>hidrojateamento</w:t>
      </w:r>
      <w:proofErr w:type="spellEnd"/>
    </w:p>
    <w:p w:rsidR="007F7BE5" w:rsidRP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Será medido por superfície de área limpa (m²).</w:t>
      </w:r>
    </w:p>
    <w:p w:rsidR="007F7BE5" w:rsidRP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O item remunera o fornecimento equipamentos, materiais de consumo e a mão-de-obra</w:t>
      </w:r>
    </w:p>
    <w:p w:rsid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necessária para a execução do serviço de limpeza complementar, de áreas em geral, por meio de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jato d´água de alta pressão, inclusive com a utilização de produtos químicos, quando necessário.</w:t>
      </w:r>
    </w:p>
    <w:p w:rsid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</w:p>
    <w:p w:rsidR="007F7BE5" w:rsidRPr="007F7BE5" w:rsidRDefault="007F7BE5" w:rsidP="007F7BE5">
      <w:pPr>
        <w:suppressAutoHyphens w:val="0"/>
        <w:overflowPunct/>
        <w:rPr>
          <w:rFonts w:ascii="CIDFont+F1" w:eastAsia="Times New Roman" w:hAnsi="CIDFont+F1" w:cs="Times New Roman"/>
          <w:b/>
          <w:bCs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bCs/>
          <w:sz w:val="23"/>
          <w:szCs w:val="23"/>
        </w:rPr>
        <w:t xml:space="preserve">17.2 </w:t>
      </w:r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 xml:space="preserve">Tinta acrílica </w:t>
      </w:r>
      <w:proofErr w:type="spellStart"/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>antimofo</w:t>
      </w:r>
      <w:proofErr w:type="spellEnd"/>
      <w:r w:rsidRPr="007F7BE5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 xml:space="preserve"> em massa, inclusive preparo</w:t>
      </w:r>
    </w:p>
    <w:p w:rsidR="007F7BE5" w:rsidRP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Será medido pela área de superfície preparada e pintada, não se descontando vãos de até 2,00m² e não se considerando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espaletas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, filetes ou molduras. Os vãos acima de 2,00 m² deverão ser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deduzidos na totalidade e as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espaletas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, filetes ou molduras desenvolvidas (m²).</w:t>
      </w:r>
    </w:p>
    <w:p w:rsid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O item remunera o fornecimento de selador de tinta para pintura acrílica, tinta plástica à base de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resina acrílica acetinado fosco, aditivada com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Bacterkill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 (agente fungicida), solúvel em água,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acabamento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semibrilho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, específica para prevenção da proliferação de fungos e mofo, com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resistência à umidade em ambientes frios ou quentes, tais como saunas, lavanderias, câmaras frias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e locais com vapores ou condensação de água; referência comercial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Metalatex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Antimofo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 fabricação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proofErr w:type="spellStart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Sherwin</w:t>
      </w:r>
      <w:proofErr w:type="spellEnd"/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 xml:space="preserve"> Williams ou equivalente. Remunera também materiais acessórios e mão de obra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necessária para a execução dos serviços de: limpeza da superfície, lixamento, remoção do pó e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aplicação do selador, conforme recomendações do fabricante; aplicação da tinta, em 2 ou 3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demãos sobre superfície revestida com massa, conforme especificações do fabricante e as normas</w:t>
      </w:r>
      <w:r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7F7BE5">
        <w:rPr>
          <w:rFonts w:ascii="Arial" w:eastAsia="Times New Roman" w:hAnsi="Arial" w:cs="Arial"/>
          <w:color w:val="000000"/>
          <w:szCs w:val="20"/>
          <w:lang w:eastAsia="pt-BR"/>
        </w:rPr>
        <w:t>NBR 11702 e NBR 15079.</w:t>
      </w:r>
    </w:p>
    <w:p w:rsidR="007F7BE5" w:rsidRDefault="007F7BE5" w:rsidP="007F7BE5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</w:p>
    <w:p w:rsidR="007F7BE5" w:rsidRPr="007F7BE5" w:rsidRDefault="007F7BE5" w:rsidP="007F7BE5">
      <w:pPr>
        <w:suppressAutoHyphens w:val="0"/>
        <w:overflowPunct/>
        <w:rPr>
          <w:rFonts w:ascii="CIDFont+F1" w:eastAsia="Times New Roman" w:hAnsi="CIDFont+F1" w:cs="Times New Roman"/>
          <w:b/>
          <w:bCs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bCs/>
          <w:sz w:val="23"/>
          <w:szCs w:val="23"/>
        </w:rPr>
        <w:t xml:space="preserve">17.3 </w:t>
      </w:r>
      <w:r w:rsidRPr="00703E2D">
        <w:rPr>
          <w:rFonts w:ascii="Arial" w:eastAsia="Times New Roman" w:hAnsi="Arial" w:cs="Arial"/>
          <w:b/>
          <w:bCs/>
          <w:color w:val="000000"/>
          <w:szCs w:val="22"/>
          <w:lang w:eastAsia="pt-BR"/>
        </w:rPr>
        <w:t>Tinta acrílica para faixas demarcatórias</w:t>
      </w:r>
    </w:p>
    <w:p w:rsidR="007F7BE5" w:rsidRPr="00CA64AB" w:rsidRDefault="007F7BE5" w:rsidP="00CA64AB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Será medido pelo comprimento de linha demarcatória moldada e pintada (m).</w:t>
      </w:r>
    </w:p>
    <w:p w:rsidR="00703E2D" w:rsidRPr="00703E2D" w:rsidRDefault="007F7BE5" w:rsidP="00703E2D">
      <w:pPr>
        <w:suppressAutoHyphens w:val="0"/>
        <w:overflowPunct/>
        <w:jc w:val="both"/>
        <w:rPr>
          <w:rFonts w:ascii="Arial" w:eastAsia="Times New Roman" w:hAnsi="Arial" w:cs="Arial"/>
          <w:color w:val="000000"/>
          <w:szCs w:val="20"/>
          <w:lang w:eastAsia="pt-BR"/>
        </w:rPr>
      </w:pPr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O item remunera o fornecimento de material e mão de obra necessária para demarcação de</w:t>
      </w:r>
      <w:r w:rsidR="00CA64AB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molde de linha de faixa, com aplicação de fita crepe em 2 camadas para garantia de fixação</w:t>
      </w:r>
      <w:r w:rsidR="00CA64AB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uniforme e alinhamento. Remunera também limpeza da superfície conforme recomendação do</w:t>
      </w:r>
      <w:r w:rsidR="00CA64AB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fabricante e aplicação de 2 demãos de tinta acrílica nas linhas demarcatórias, a base de resinas</w:t>
      </w:r>
      <w:r w:rsidR="00CA64AB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acrílicas, com alta resistência à abrasão, resistente a água, alcalinidade, maresia e intempéries,</w:t>
      </w:r>
      <w:r w:rsidR="00CA64AB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conforme norma NBR 11702, referência Pisos Acrílico Premium da Suvinil, Pinta Piso da Coral,</w:t>
      </w:r>
      <w:r w:rsidR="00CA64AB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proofErr w:type="spellStart"/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>Super</w:t>
      </w:r>
      <w:proofErr w:type="spellEnd"/>
      <w:r w:rsidRPr="00CA64AB">
        <w:rPr>
          <w:rFonts w:ascii="Arial" w:eastAsia="Times New Roman" w:hAnsi="Arial" w:cs="Arial"/>
          <w:color w:val="000000"/>
          <w:szCs w:val="20"/>
          <w:lang w:eastAsia="pt-BR"/>
        </w:rPr>
        <w:t xml:space="preserve"> Piso Acrílico Premium da Eucatex ou equivalente.</w:t>
      </w:r>
    </w:p>
    <w:p w:rsidR="007F7BE5" w:rsidRDefault="007F7BE5">
      <w:pPr>
        <w:jc w:val="right"/>
        <w:rPr>
          <w:rFonts w:ascii="Arial" w:hAnsi="Arial" w:cs="Arial"/>
          <w:sz w:val="23"/>
          <w:szCs w:val="23"/>
        </w:rPr>
      </w:pPr>
      <w:bookmarkStart w:id="0" w:name="_GoBack"/>
      <w:bookmarkEnd w:id="0"/>
    </w:p>
    <w:p w:rsidR="00BD72BC" w:rsidRDefault="00753F68" w:rsidP="00753F68">
      <w:pPr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Estância Turística de Ibitinga, </w:t>
      </w:r>
      <w:r w:rsidR="00703E2D">
        <w:rPr>
          <w:rFonts w:ascii="Arial" w:hAnsi="Arial" w:cs="Arial"/>
          <w:sz w:val="23"/>
          <w:szCs w:val="23"/>
        </w:rPr>
        <w:t>07</w:t>
      </w:r>
      <w:r>
        <w:rPr>
          <w:rFonts w:ascii="Arial" w:hAnsi="Arial" w:cs="Arial"/>
          <w:sz w:val="23"/>
          <w:szCs w:val="23"/>
        </w:rPr>
        <w:t xml:space="preserve"> de julho de 2025</w:t>
      </w:r>
    </w:p>
    <w:p w:rsidR="00753F68" w:rsidRDefault="00753F68" w:rsidP="00753F68">
      <w:pPr>
        <w:jc w:val="right"/>
      </w:pPr>
    </w:p>
    <w:p w:rsidR="00753F68" w:rsidRDefault="00753F68" w:rsidP="00753F68">
      <w:pPr>
        <w:jc w:val="right"/>
      </w:pPr>
    </w:p>
    <w:p w:rsidR="00753F68" w:rsidRDefault="00753F68" w:rsidP="00753F68"/>
    <w:p w:rsidR="00753F68" w:rsidRPr="00DB46F3" w:rsidRDefault="00753F68" w:rsidP="00753F68"/>
    <w:p w:rsidR="00753F68" w:rsidRPr="00DB46F3" w:rsidRDefault="00753F68" w:rsidP="00753F68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</w:rPr>
      </w:pPr>
      <w:r w:rsidRPr="00DB46F3">
        <w:rPr>
          <w:rFonts w:ascii="Arial" w:hAnsi="Arial" w:cs="Arial"/>
          <w:b/>
        </w:rPr>
        <w:t>Henrique Faustino do Nascimento Silva</w:t>
      </w:r>
    </w:p>
    <w:p w:rsidR="00753F68" w:rsidRPr="00DB46F3" w:rsidRDefault="00753F68" w:rsidP="00753F68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</w:rPr>
      </w:pPr>
      <w:r w:rsidRPr="00DB46F3">
        <w:rPr>
          <w:rFonts w:ascii="Arial" w:hAnsi="Arial" w:cs="Arial"/>
        </w:rPr>
        <w:t>Secretário de Obras Públicas</w:t>
      </w:r>
    </w:p>
    <w:p w:rsidR="00753F68" w:rsidRDefault="00753F68" w:rsidP="00753F68">
      <w:pPr>
        <w:jc w:val="center"/>
      </w:pPr>
    </w:p>
    <w:sectPr w:rsidR="00753F68">
      <w:headerReference w:type="default" r:id="rId6"/>
      <w:footerReference w:type="default" r:id="rId7"/>
      <w:pgSz w:w="11906" w:h="16838"/>
      <w:pgMar w:top="2438" w:right="1134" w:bottom="181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755" w:rsidRDefault="00753F68">
      <w:r>
        <w:separator/>
      </w:r>
    </w:p>
  </w:endnote>
  <w:endnote w:type="continuationSeparator" w:id="0">
    <w:p w:rsidR="006D5755" w:rsidRDefault="0075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2BC" w:rsidRDefault="00753F68">
    <w:pPr>
      <w:pStyle w:val="Rodap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755" w:rsidRDefault="00753F68">
      <w:r>
        <w:separator/>
      </w:r>
    </w:p>
  </w:footnote>
  <w:footnote w:type="continuationSeparator" w:id="0">
    <w:p w:rsidR="006D5755" w:rsidRDefault="00753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2BC" w:rsidRDefault="00753F68">
    <w:pPr>
      <w:pStyle w:val="Cabealho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2BC"/>
    <w:rsid w:val="00101CD2"/>
    <w:rsid w:val="00263A24"/>
    <w:rsid w:val="006D5755"/>
    <w:rsid w:val="00703E2D"/>
    <w:rsid w:val="00753F68"/>
    <w:rsid w:val="007F7BE5"/>
    <w:rsid w:val="00914617"/>
    <w:rsid w:val="00A5378A"/>
    <w:rsid w:val="00BD72BC"/>
    <w:rsid w:val="00CA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2AD25"/>
  <w15:docId w15:val="{FF6D5B24-8F80-407F-BFEB-D303B291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Absatz-Standardschriftart">
    <w:name w:val="Absatz-Standardschriftart"/>
    <w:qFormat/>
  </w:style>
  <w:style w:type="character" w:customStyle="1" w:styleId="TextodebaloChar">
    <w:name w:val="Texto de balão Char"/>
    <w:basedOn w:val="Fontepargpadro"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b/>
      <w:sz w:val="24"/>
    </w:rPr>
  </w:style>
  <w:style w:type="character" w:customStyle="1" w:styleId="ListLabel2">
    <w:name w:val="ListLabel 2"/>
    <w:qFormat/>
    <w:rPr>
      <w:rFonts w:ascii="Arial" w:hAnsi="Arial" w:cs="Arial"/>
      <w:b/>
      <w:sz w:val="24"/>
    </w:rPr>
  </w:style>
  <w:style w:type="character" w:customStyle="1" w:styleId="ListLabel3">
    <w:name w:val="ListLabel 3"/>
    <w:qFormat/>
    <w:rPr>
      <w:rFonts w:cs="Arial"/>
      <w:b/>
    </w:rPr>
  </w:style>
  <w:style w:type="character" w:customStyle="1" w:styleId="ListLabel4">
    <w:name w:val="ListLabel 4"/>
    <w:qFormat/>
    <w:rPr>
      <w:rFonts w:cs="Arial"/>
      <w:b/>
    </w:rPr>
  </w:style>
  <w:style w:type="character" w:customStyle="1" w:styleId="ListLabel5">
    <w:name w:val="ListLabel 5"/>
    <w:qFormat/>
    <w:rPr>
      <w:rFonts w:cs="Arial"/>
      <w:b/>
    </w:rPr>
  </w:style>
  <w:style w:type="character" w:customStyle="1" w:styleId="ListLabel6">
    <w:name w:val="ListLabel 6"/>
    <w:qFormat/>
    <w:rPr>
      <w:rFonts w:cs="Arial"/>
      <w:b/>
    </w:rPr>
  </w:style>
  <w:style w:type="character" w:customStyle="1" w:styleId="ListLabel7">
    <w:name w:val="ListLabel 7"/>
    <w:qFormat/>
    <w:rPr>
      <w:rFonts w:cs="Arial"/>
      <w:b/>
    </w:rPr>
  </w:style>
  <w:style w:type="character" w:customStyle="1" w:styleId="ListLabel8">
    <w:name w:val="ListLabel 8"/>
    <w:qFormat/>
    <w:rPr>
      <w:rFonts w:cs="Arial"/>
      <w:b/>
    </w:rPr>
  </w:style>
  <w:style w:type="character" w:customStyle="1" w:styleId="ListLabel9">
    <w:name w:val="ListLabel 9"/>
    <w:qFormat/>
    <w:rPr>
      <w:rFonts w:cs="Arial"/>
      <w:b/>
    </w:rPr>
  </w:style>
  <w:style w:type="character" w:customStyle="1" w:styleId="ListLabel10">
    <w:name w:val="ListLabel 10"/>
    <w:qFormat/>
    <w:rPr>
      <w:rFonts w:cs="Arial"/>
      <w:b/>
    </w:rPr>
  </w:style>
  <w:style w:type="character" w:customStyle="1" w:styleId="ListLabel11">
    <w:name w:val="ListLabel 11"/>
    <w:qFormat/>
    <w:rPr>
      <w:rFonts w:cs="Arial"/>
      <w:b/>
      <w:sz w:val="24"/>
    </w:rPr>
  </w:style>
  <w:style w:type="character" w:customStyle="1" w:styleId="ListLabel12">
    <w:name w:val="ListLabel 12"/>
    <w:qFormat/>
    <w:rPr>
      <w:rFonts w:cs="Arial"/>
      <w:b/>
    </w:rPr>
  </w:style>
  <w:style w:type="character" w:customStyle="1" w:styleId="ListLabel13">
    <w:name w:val="ListLabel 13"/>
    <w:qFormat/>
    <w:rPr>
      <w:rFonts w:cs="Arial"/>
      <w:b/>
    </w:rPr>
  </w:style>
  <w:style w:type="character" w:customStyle="1" w:styleId="ListLabel14">
    <w:name w:val="ListLabel 14"/>
    <w:qFormat/>
    <w:rPr>
      <w:rFonts w:cs="Arial"/>
      <w:b/>
    </w:rPr>
  </w:style>
  <w:style w:type="character" w:customStyle="1" w:styleId="ListLabel15">
    <w:name w:val="ListLabel 15"/>
    <w:qFormat/>
    <w:rPr>
      <w:rFonts w:cs="Arial"/>
      <w:b/>
    </w:rPr>
  </w:style>
  <w:style w:type="character" w:customStyle="1" w:styleId="ListLabel16">
    <w:name w:val="ListLabel 16"/>
    <w:qFormat/>
    <w:rPr>
      <w:rFonts w:cs="Arial"/>
      <w:b/>
    </w:rPr>
  </w:style>
  <w:style w:type="character" w:customStyle="1" w:styleId="ListLabel17">
    <w:name w:val="ListLabel 17"/>
    <w:qFormat/>
    <w:rPr>
      <w:rFonts w:cs="Arial"/>
      <w:b/>
    </w:rPr>
  </w:style>
  <w:style w:type="character" w:customStyle="1" w:styleId="ListLabel18">
    <w:name w:val="ListLabel 18"/>
    <w:qFormat/>
    <w:rPr>
      <w:rFonts w:cs="Arial"/>
      <w:b/>
    </w:rPr>
  </w:style>
  <w:style w:type="character" w:customStyle="1" w:styleId="ListLabel19">
    <w:name w:val="ListLabel 19"/>
    <w:qFormat/>
    <w:rPr>
      <w:rFonts w:cs="Arial"/>
      <w:b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color w:val="00000A"/>
      <w:sz w:val="22"/>
      <w:szCs w:val="22"/>
    </w:rPr>
  </w:style>
  <w:style w:type="paragraph" w:styleId="Textodebal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ontepargpadro"/>
    <w:rsid w:val="00A5378A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A5378A"/>
    <w:rPr>
      <w:rFonts w:ascii="CIDFont+F2" w:hAnsi="CIDFont+F2" w:hint="default"/>
      <w:b w:val="0"/>
      <w:bCs w:val="0"/>
      <w:i w:val="0"/>
      <w:iCs w:val="0"/>
      <w:color w:val="000000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753F6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53F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18</Pages>
  <Words>7834</Words>
  <Characters>42304</Characters>
  <Application>Microsoft Office Word</Application>
  <DocSecurity>0</DocSecurity>
  <Lines>352</Lines>
  <Paragraphs>100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Diretor</cp:lastModifiedBy>
  <cp:revision>39</cp:revision>
  <cp:lastPrinted>2025-07-07T14:08:00Z</cp:lastPrinted>
  <dcterms:created xsi:type="dcterms:W3CDTF">2023-05-17T13:25:00Z</dcterms:created>
  <dcterms:modified xsi:type="dcterms:W3CDTF">2025-07-07T14:08:00Z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